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A8633" w14:textId="77777777" w:rsidR="00705574" w:rsidRPr="0052520B" w:rsidRDefault="00705574" w:rsidP="00705574">
      <w:pPr>
        <w:rPr>
          <w:rFonts w:eastAsia="Times New Roman"/>
          <w:color w:val="333333"/>
        </w:rPr>
      </w:pPr>
      <w:r>
        <w:rPr>
          <w:rFonts w:eastAsia="Times New Roman"/>
          <w:color w:val="333333"/>
        </w:rPr>
        <w:t>Welcome to 2021 – a few thoughts on predictions, important tax information, and my outlook</w:t>
      </w:r>
    </w:p>
    <w:p w14:paraId="2B9B0960" w14:textId="77777777" w:rsidR="00705574" w:rsidRPr="0052520B" w:rsidRDefault="00705574" w:rsidP="00705574">
      <w:pPr>
        <w:rPr>
          <w:rFonts w:eastAsia="Times New Roman"/>
          <w:color w:val="333333"/>
        </w:rPr>
      </w:pPr>
    </w:p>
    <w:p w14:paraId="75C38037" w14:textId="77777777" w:rsidR="00705574" w:rsidRDefault="00705574" w:rsidP="00705574">
      <w:pPr>
        <w:rPr>
          <w:rFonts w:eastAsia="Times New Roman"/>
          <w:color w:val="333333"/>
        </w:rPr>
      </w:pPr>
      <w:r>
        <w:rPr>
          <w:rFonts w:eastAsia="Times New Roman"/>
          <w:color w:val="333333"/>
        </w:rPr>
        <w:t>Happy New Year – a few thoughts for you as we start the year.</w:t>
      </w:r>
    </w:p>
    <w:p w14:paraId="681AB4BD" w14:textId="77777777" w:rsidR="00705574" w:rsidRDefault="00705574" w:rsidP="00705574">
      <w:pPr>
        <w:rPr>
          <w:rFonts w:eastAsia="Times New Roman"/>
          <w:color w:val="333333"/>
        </w:rPr>
      </w:pPr>
    </w:p>
    <w:p w14:paraId="6394B31D" w14:textId="77777777" w:rsidR="00705574" w:rsidRDefault="00705574" w:rsidP="00705574">
      <w:pPr>
        <w:rPr>
          <w:rFonts w:eastAsia="Times New Roman"/>
          <w:color w:val="333333"/>
        </w:rPr>
      </w:pPr>
      <w:r w:rsidRPr="00986632">
        <w:rPr>
          <w:rFonts w:eastAsia="Times New Roman"/>
          <w:b/>
          <w:color w:val="333333"/>
        </w:rPr>
        <w:t>First</w:t>
      </w:r>
      <w:r>
        <w:rPr>
          <w:rFonts w:eastAsia="Times New Roman"/>
          <w:color w:val="333333"/>
        </w:rPr>
        <w:t xml:space="preserve">, what will this year look like – most likely you will have read several predictions for 2021 – where it is on markets, the vaccination process, politics, </w:t>
      </w:r>
      <w:proofErr w:type="spellStart"/>
      <w:r>
        <w:rPr>
          <w:rFonts w:eastAsia="Times New Roman"/>
          <w:color w:val="333333"/>
        </w:rPr>
        <w:t>etc</w:t>
      </w:r>
      <w:proofErr w:type="spellEnd"/>
      <w:r>
        <w:rPr>
          <w:rFonts w:eastAsia="Times New Roman"/>
          <w:color w:val="333333"/>
        </w:rPr>
        <w:t>, etc.  I give predictions very little weight (who predicted the pandemic in 2020?).  I will look at their thoughts and reasoning’s (that can be valuable) but I do not put any weight in a year-end target or predictions.</w:t>
      </w:r>
    </w:p>
    <w:p w14:paraId="5AA8546C" w14:textId="77777777" w:rsidR="00705574" w:rsidRDefault="00705574" w:rsidP="00705574">
      <w:pPr>
        <w:rPr>
          <w:rFonts w:eastAsia="Times New Roman"/>
          <w:color w:val="333333"/>
        </w:rPr>
      </w:pPr>
    </w:p>
    <w:p w14:paraId="06BB9ADD" w14:textId="77777777" w:rsidR="00705574" w:rsidRDefault="00705574" w:rsidP="00705574">
      <w:pPr>
        <w:rPr>
          <w:rFonts w:eastAsia="Times New Roman"/>
          <w:color w:val="333333"/>
        </w:rPr>
      </w:pPr>
      <w:r w:rsidRPr="00986632">
        <w:rPr>
          <w:rFonts w:eastAsia="Times New Roman"/>
          <w:b/>
          <w:color w:val="333333"/>
        </w:rPr>
        <w:t>Second</w:t>
      </w:r>
      <w:r>
        <w:rPr>
          <w:rFonts w:eastAsia="Times New Roman"/>
          <w:color w:val="333333"/>
        </w:rPr>
        <w:t>, essential tax information for 2021.</w:t>
      </w:r>
    </w:p>
    <w:p w14:paraId="6630CBC7" w14:textId="77777777" w:rsidR="00705574" w:rsidRPr="0021533C" w:rsidRDefault="00705574" w:rsidP="00705574">
      <w:pPr>
        <w:rPr>
          <w:rFonts w:eastAsia="Times New Roman"/>
          <w:b/>
          <w:color w:val="333333"/>
        </w:rPr>
      </w:pPr>
      <w:r w:rsidRPr="0021533C">
        <w:rPr>
          <w:rFonts w:eastAsia="Times New Roman"/>
          <w:b/>
          <w:color w:val="333333"/>
        </w:rPr>
        <w:t>Tax information for those working</w:t>
      </w:r>
    </w:p>
    <w:p w14:paraId="790673AC" w14:textId="77777777" w:rsidR="00705574" w:rsidRPr="0021533C" w:rsidRDefault="00705574" w:rsidP="00705574">
      <w:pPr>
        <w:pStyle w:val="ListParagraph"/>
        <w:numPr>
          <w:ilvl w:val="0"/>
          <w:numId w:val="1"/>
        </w:numPr>
        <w:rPr>
          <w:rFonts w:eastAsia="Times New Roman"/>
          <w:color w:val="333333"/>
        </w:rPr>
      </w:pPr>
      <w:r w:rsidRPr="0021533C">
        <w:rPr>
          <w:rFonts w:eastAsia="Times New Roman"/>
          <w:color w:val="333333"/>
        </w:rPr>
        <w:t xml:space="preserve">TFSA Limit – 6,000 for 2021.  </w:t>
      </w:r>
    </w:p>
    <w:p w14:paraId="07907A49" w14:textId="77777777" w:rsidR="00705574" w:rsidRDefault="00705574" w:rsidP="00705574">
      <w:pPr>
        <w:pStyle w:val="ListParagraph"/>
        <w:numPr>
          <w:ilvl w:val="1"/>
          <w:numId w:val="1"/>
        </w:numPr>
        <w:rPr>
          <w:rFonts w:eastAsia="Times New Roman"/>
          <w:color w:val="333333"/>
        </w:rPr>
      </w:pPr>
      <w:r>
        <w:rPr>
          <w:rFonts w:eastAsia="Times New Roman"/>
          <w:color w:val="333333"/>
        </w:rPr>
        <w:t xml:space="preserve">If you have never contributed to a TFSA and has been </w:t>
      </w:r>
      <w:proofErr w:type="spellStart"/>
      <w:r>
        <w:rPr>
          <w:rFonts w:eastAsia="Times New Roman"/>
          <w:color w:val="333333"/>
        </w:rPr>
        <w:t>elibible</w:t>
      </w:r>
      <w:proofErr w:type="spellEnd"/>
      <w:r>
        <w:rPr>
          <w:rFonts w:eastAsia="Times New Roman"/>
          <w:color w:val="333333"/>
        </w:rPr>
        <w:t xml:space="preserve"> for the TFSA since its introduction in 2009, the maximum amount that can be contributed is 75,500.  This amount was 69,500 in 2020.</w:t>
      </w:r>
    </w:p>
    <w:p w14:paraId="4CAFEC1B" w14:textId="77777777" w:rsidR="00705574" w:rsidRDefault="00705574" w:rsidP="00705574">
      <w:pPr>
        <w:pStyle w:val="ListParagraph"/>
        <w:numPr>
          <w:ilvl w:val="0"/>
          <w:numId w:val="1"/>
        </w:numPr>
        <w:rPr>
          <w:rFonts w:eastAsia="Times New Roman"/>
          <w:color w:val="333333"/>
        </w:rPr>
      </w:pPr>
      <w:r>
        <w:rPr>
          <w:rFonts w:eastAsia="Times New Roman"/>
          <w:color w:val="333333"/>
        </w:rPr>
        <w:t>Maximum RSP contribution - $27,830 in 2021.  This amount was $27,230 in 2020.</w:t>
      </w:r>
    </w:p>
    <w:p w14:paraId="14019A62" w14:textId="77777777" w:rsidR="00705574" w:rsidRDefault="00705574" w:rsidP="00705574">
      <w:pPr>
        <w:pStyle w:val="ListParagraph"/>
        <w:numPr>
          <w:ilvl w:val="1"/>
          <w:numId w:val="1"/>
        </w:numPr>
        <w:rPr>
          <w:rFonts w:eastAsia="Times New Roman"/>
          <w:color w:val="333333"/>
        </w:rPr>
      </w:pPr>
      <w:r>
        <w:rPr>
          <w:rFonts w:eastAsia="Times New Roman"/>
          <w:color w:val="333333"/>
        </w:rPr>
        <w:t>Your personal RSP contribution amount is provided on your Notice of Assessment the Federal Government mails to you each year or on the mycra.ca website.</w:t>
      </w:r>
    </w:p>
    <w:p w14:paraId="1C8C5B86" w14:textId="77777777" w:rsidR="00705574" w:rsidRDefault="00705574" w:rsidP="00705574">
      <w:pPr>
        <w:pStyle w:val="ListParagraph"/>
        <w:numPr>
          <w:ilvl w:val="0"/>
          <w:numId w:val="1"/>
        </w:numPr>
        <w:rPr>
          <w:rFonts w:eastAsia="Times New Roman"/>
          <w:color w:val="333333"/>
        </w:rPr>
      </w:pPr>
      <w:r>
        <w:rPr>
          <w:rFonts w:eastAsia="Times New Roman"/>
          <w:color w:val="333333"/>
        </w:rPr>
        <w:t>Lifetime capital gains exemption - $892,218 in 2021, up from $883,384 in 2020.</w:t>
      </w:r>
    </w:p>
    <w:p w14:paraId="4F9FE6D1" w14:textId="77777777" w:rsidR="00705574" w:rsidRDefault="00705574" w:rsidP="00705574">
      <w:pPr>
        <w:pStyle w:val="ListParagraph"/>
        <w:numPr>
          <w:ilvl w:val="0"/>
          <w:numId w:val="1"/>
        </w:numPr>
        <w:rPr>
          <w:rFonts w:eastAsia="Times New Roman"/>
          <w:color w:val="333333"/>
        </w:rPr>
      </w:pPr>
      <w:r>
        <w:rPr>
          <w:rFonts w:eastAsia="Times New Roman"/>
          <w:color w:val="333333"/>
        </w:rPr>
        <w:t>Maximum pensionable earnings - $61,600 in 2021, up from $58, 700 in 2020.</w:t>
      </w:r>
    </w:p>
    <w:p w14:paraId="4466B02D" w14:textId="77777777" w:rsidR="00705574" w:rsidRDefault="00705574" w:rsidP="00705574">
      <w:pPr>
        <w:pStyle w:val="ListParagraph"/>
        <w:numPr>
          <w:ilvl w:val="0"/>
          <w:numId w:val="1"/>
        </w:numPr>
        <w:rPr>
          <w:rFonts w:eastAsia="Times New Roman"/>
          <w:color w:val="333333"/>
        </w:rPr>
      </w:pPr>
      <w:r>
        <w:rPr>
          <w:rFonts w:eastAsia="Times New Roman"/>
          <w:color w:val="333333"/>
        </w:rPr>
        <w:t>Maximum EI insurable earnings - $56,300 in 2021, up from $54,200 in 2020.</w:t>
      </w:r>
    </w:p>
    <w:p w14:paraId="3281766E" w14:textId="77777777" w:rsidR="00705574" w:rsidRPr="00847C70" w:rsidRDefault="00705574" w:rsidP="00705574">
      <w:pPr>
        <w:rPr>
          <w:rFonts w:eastAsia="Times New Roman"/>
          <w:b/>
          <w:color w:val="333333"/>
        </w:rPr>
      </w:pPr>
      <w:r w:rsidRPr="00847C70">
        <w:rPr>
          <w:rFonts w:eastAsia="Times New Roman"/>
          <w:b/>
          <w:color w:val="333333"/>
        </w:rPr>
        <w:t>Older Clients</w:t>
      </w:r>
    </w:p>
    <w:p w14:paraId="2BA929C3" w14:textId="77777777" w:rsidR="00705574" w:rsidRDefault="00705574" w:rsidP="00705574">
      <w:pPr>
        <w:pStyle w:val="ListParagraph"/>
        <w:numPr>
          <w:ilvl w:val="0"/>
          <w:numId w:val="2"/>
        </w:numPr>
        <w:rPr>
          <w:rFonts w:eastAsia="Times New Roman"/>
          <w:color w:val="333333"/>
        </w:rPr>
      </w:pPr>
      <w:r>
        <w:rPr>
          <w:rFonts w:eastAsia="Times New Roman"/>
          <w:color w:val="333333"/>
        </w:rPr>
        <w:t>Age Amount – clients can claim this amount if they were 65 tears of age or older on December 31 – the maximum in 2021 is $7,713, up from $7,637 in 2020.</w:t>
      </w:r>
    </w:p>
    <w:p w14:paraId="13B3E27A" w14:textId="77777777" w:rsidR="00705574" w:rsidRDefault="00705574" w:rsidP="00705574">
      <w:pPr>
        <w:pStyle w:val="ListParagraph"/>
        <w:numPr>
          <w:ilvl w:val="0"/>
          <w:numId w:val="2"/>
        </w:numPr>
        <w:rPr>
          <w:rFonts w:eastAsia="Times New Roman"/>
          <w:color w:val="333333"/>
        </w:rPr>
      </w:pPr>
      <w:r>
        <w:rPr>
          <w:rFonts w:eastAsia="Times New Roman"/>
          <w:color w:val="333333"/>
        </w:rPr>
        <w:t>OAS recovery threshold – if net world income exceeds, $79,845 in 2021 ($79,054 in 2020), you may have to repay part of or the entire OAS pension.</w:t>
      </w:r>
    </w:p>
    <w:p w14:paraId="7704247B" w14:textId="77777777" w:rsidR="00705574" w:rsidRPr="00847C70" w:rsidRDefault="00705574" w:rsidP="00705574">
      <w:pPr>
        <w:rPr>
          <w:rFonts w:eastAsia="Times New Roman"/>
          <w:b/>
          <w:color w:val="333333"/>
        </w:rPr>
      </w:pPr>
      <w:r w:rsidRPr="00847C70">
        <w:rPr>
          <w:rFonts w:eastAsia="Times New Roman"/>
          <w:b/>
          <w:color w:val="333333"/>
        </w:rPr>
        <w:t>With children or dependants</w:t>
      </w:r>
    </w:p>
    <w:p w14:paraId="74F86B6E" w14:textId="77777777" w:rsidR="00705574" w:rsidRDefault="00705574" w:rsidP="00705574">
      <w:pPr>
        <w:pStyle w:val="ListParagraph"/>
        <w:numPr>
          <w:ilvl w:val="0"/>
          <w:numId w:val="3"/>
        </w:numPr>
        <w:rPr>
          <w:rFonts w:eastAsia="Times New Roman"/>
          <w:color w:val="333333"/>
        </w:rPr>
      </w:pPr>
      <w:r>
        <w:rPr>
          <w:rFonts w:eastAsia="Times New Roman"/>
          <w:color w:val="333333"/>
        </w:rPr>
        <w:t xml:space="preserve">Canada child benefit – for 2021, the maximum benefit is $6,833 per child under 6 and up to $5,765 per child aged 6 through 17.  In 2020, the amounts were $6,765 and $5,708 respectively.  </w:t>
      </w:r>
    </w:p>
    <w:p w14:paraId="793E58C3" w14:textId="77777777" w:rsidR="00705574" w:rsidRDefault="00705574" w:rsidP="00705574">
      <w:pPr>
        <w:rPr>
          <w:rFonts w:eastAsia="Times New Roman"/>
          <w:color w:val="333333"/>
        </w:rPr>
      </w:pPr>
      <w:r w:rsidRPr="00847C70">
        <w:rPr>
          <w:rFonts w:eastAsia="Times New Roman"/>
          <w:b/>
          <w:color w:val="333333"/>
        </w:rPr>
        <w:t>Last day for RSP contributions</w:t>
      </w:r>
      <w:r>
        <w:rPr>
          <w:rFonts w:eastAsia="Times New Roman"/>
          <w:color w:val="333333"/>
        </w:rPr>
        <w:t xml:space="preserve"> </w:t>
      </w:r>
      <w:r w:rsidRPr="00847C70">
        <w:rPr>
          <w:rFonts w:eastAsia="Times New Roman"/>
          <w:b/>
          <w:color w:val="333333"/>
        </w:rPr>
        <w:t>for the 2020 tax year</w:t>
      </w:r>
      <w:r>
        <w:rPr>
          <w:rFonts w:eastAsia="Times New Roman"/>
          <w:color w:val="333333"/>
        </w:rPr>
        <w:t xml:space="preserve"> – March 1, 2021.</w:t>
      </w:r>
    </w:p>
    <w:p w14:paraId="67E03024" w14:textId="77777777" w:rsidR="00705574" w:rsidRDefault="00705574" w:rsidP="00705574">
      <w:pPr>
        <w:rPr>
          <w:rFonts w:eastAsia="Times New Roman"/>
          <w:color w:val="333333"/>
        </w:rPr>
      </w:pPr>
      <w:r w:rsidRPr="00847C70">
        <w:rPr>
          <w:rFonts w:eastAsia="Times New Roman"/>
          <w:b/>
          <w:color w:val="333333"/>
        </w:rPr>
        <w:t>Last day for filling and paying personal 2020 taxes</w:t>
      </w:r>
      <w:r>
        <w:rPr>
          <w:rFonts w:eastAsia="Times New Roman"/>
          <w:color w:val="333333"/>
        </w:rPr>
        <w:t xml:space="preserve"> – April 30, 2021 (note, in 2020 due to the pandemic, 2019 taxes did not have to be filed until June 1, 2020 and taxes did not have to be paid until September 30 ,2020.  </w:t>
      </w:r>
    </w:p>
    <w:p w14:paraId="1EA3C64C" w14:textId="77777777" w:rsidR="00705574" w:rsidRDefault="00705574" w:rsidP="00705574">
      <w:pPr>
        <w:rPr>
          <w:rFonts w:eastAsia="Times New Roman"/>
          <w:color w:val="333333"/>
        </w:rPr>
      </w:pPr>
    </w:p>
    <w:p w14:paraId="0BFB16B2" w14:textId="77777777" w:rsidR="00705574" w:rsidRDefault="00705574" w:rsidP="00705574">
      <w:pPr>
        <w:rPr>
          <w:rFonts w:eastAsia="Times New Roman"/>
          <w:color w:val="333333"/>
        </w:rPr>
      </w:pPr>
      <w:r w:rsidRPr="00C52960">
        <w:rPr>
          <w:rFonts w:eastAsia="Times New Roman"/>
          <w:b/>
          <w:color w:val="333333"/>
        </w:rPr>
        <w:t>Third</w:t>
      </w:r>
      <w:r>
        <w:rPr>
          <w:rFonts w:eastAsia="Times New Roman"/>
          <w:color w:val="333333"/>
        </w:rPr>
        <w:t>, my outlook.  After I just told you I don’t put a great deal of stock into predictions, so of course I will give you my outlook for this year…</w:t>
      </w:r>
    </w:p>
    <w:p w14:paraId="3AA27046" w14:textId="77777777" w:rsidR="00705574" w:rsidRDefault="00705574" w:rsidP="00705574">
      <w:pPr>
        <w:rPr>
          <w:rFonts w:eastAsia="Times New Roman"/>
          <w:color w:val="333333"/>
        </w:rPr>
      </w:pPr>
    </w:p>
    <w:p w14:paraId="04B9FD75" w14:textId="77777777" w:rsidR="00705574" w:rsidRDefault="00705574" w:rsidP="00705574">
      <w:pPr>
        <w:rPr>
          <w:rFonts w:eastAsia="Times New Roman"/>
          <w:color w:val="333333"/>
        </w:rPr>
      </w:pPr>
      <w:r>
        <w:rPr>
          <w:rFonts w:eastAsia="Times New Roman"/>
          <w:color w:val="333333"/>
        </w:rPr>
        <w:lastRenderedPageBreak/>
        <w:t>No, my overall outlooks, which is reflected in your portfolios, is that we are early in the next economic cycle – one reason I believe this is the strong demand for commodities we are seeing – prices are up for commodities and as long as there is not a supply disruption for that commodity, when prices go up it means there is demand for that commodity.  Most major commodities (except for crude oil) had very strong price increases last year.  This tells me (</w:t>
      </w:r>
      <w:proofErr w:type="gramStart"/>
      <w:r>
        <w:rPr>
          <w:rFonts w:eastAsia="Times New Roman"/>
          <w:color w:val="333333"/>
        </w:rPr>
        <w:t>as long as</w:t>
      </w:r>
      <w:proofErr w:type="gramEnd"/>
      <w:r>
        <w:rPr>
          <w:rFonts w:eastAsia="Times New Roman"/>
          <w:color w:val="333333"/>
        </w:rPr>
        <w:t xml:space="preserve"> there is not a supply issue) that there is demand for those commodities.  Demand for commodities means people are making items and selling items.   That is very positive for the economy.</w:t>
      </w:r>
    </w:p>
    <w:p w14:paraId="6E3D24AD" w14:textId="77777777" w:rsidR="00705574" w:rsidRDefault="00705574" w:rsidP="00705574">
      <w:pPr>
        <w:rPr>
          <w:rFonts w:eastAsia="Times New Roman"/>
          <w:color w:val="333333"/>
        </w:rPr>
      </w:pPr>
      <w:r>
        <w:rPr>
          <w:rFonts w:eastAsia="Times New Roman"/>
          <w:color w:val="333333"/>
        </w:rPr>
        <w:t>In closing, I hope you are all well.  Please stay apart, stay at home and we will get through this pandemic.</w:t>
      </w:r>
    </w:p>
    <w:p w14:paraId="3AB50360" w14:textId="77777777" w:rsidR="00705574" w:rsidRDefault="00705574" w:rsidP="00705574">
      <w:pPr>
        <w:rPr>
          <w:rFonts w:eastAsia="Times New Roman"/>
          <w:color w:val="333333"/>
        </w:rPr>
      </w:pPr>
    </w:p>
    <w:p w14:paraId="4D4F3D89" w14:textId="77777777" w:rsidR="00705574" w:rsidRDefault="00705574" w:rsidP="00705574">
      <w:pPr>
        <w:rPr>
          <w:rFonts w:eastAsia="Times New Roman"/>
          <w:color w:val="333333"/>
        </w:rPr>
      </w:pPr>
      <w:r>
        <w:rPr>
          <w:rFonts w:eastAsia="Times New Roman"/>
          <w:color w:val="333333"/>
        </w:rPr>
        <w:t xml:space="preserve">Please let me know if there is </w:t>
      </w:r>
      <w:proofErr w:type="gramStart"/>
      <w:r>
        <w:rPr>
          <w:rFonts w:eastAsia="Times New Roman"/>
          <w:color w:val="333333"/>
        </w:rPr>
        <w:t>anything</w:t>
      </w:r>
      <w:proofErr w:type="gramEnd"/>
      <w:r>
        <w:rPr>
          <w:rFonts w:eastAsia="Times New Roman"/>
          <w:color w:val="333333"/>
        </w:rPr>
        <w:t xml:space="preserve"> I can do for you.</w:t>
      </w:r>
    </w:p>
    <w:p w14:paraId="73F88B6E" w14:textId="77777777" w:rsidR="00705574" w:rsidRDefault="00705574" w:rsidP="00705574">
      <w:pPr>
        <w:rPr>
          <w:rFonts w:eastAsia="Times New Roman"/>
          <w:color w:val="333333"/>
        </w:rPr>
      </w:pPr>
    </w:p>
    <w:p w14:paraId="2109F2EC" w14:textId="77777777" w:rsidR="00705574" w:rsidRDefault="00705574" w:rsidP="00705574">
      <w:pPr>
        <w:rPr>
          <w:rFonts w:eastAsia="Times New Roman"/>
          <w:color w:val="333333"/>
        </w:rPr>
      </w:pPr>
      <w:r>
        <w:rPr>
          <w:rFonts w:eastAsia="Times New Roman"/>
          <w:color w:val="333333"/>
        </w:rPr>
        <w:t>Don</w:t>
      </w:r>
    </w:p>
    <w:p w14:paraId="5487F45B" w14:textId="57B91B8F" w:rsidR="00AE5DFD" w:rsidRPr="00051F49" w:rsidRDefault="00AE5DFD" w:rsidP="00051F49">
      <w:bookmarkStart w:id="0" w:name="_GoBack"/>
      <w:bookmarkEnd w:id="0"/>
    </w:p>
    <w:sectPr w:rsidR="00AE5DFD" w:rsidRPr="00051F49" w:rsidSect="00D25EFA">
      <w:headerReference w:type="default" r:id="rId11"/>
      <w:footerReference w:type="default" r:id="rId12"/>
      <w:headerReference w:type="first" r:id="rId13"/>
      <w:footerReference w:type="first" r:id="rId14"/>
      <w:pgSz w:w="12240" w:h="15840" w:code="1"/>
      <w:pgMar w:top="3261" w:right="1440" w:bottom="720" w:left="1440" w:header="1282"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164BF" w14:textId="77777777" w:rsidR="00D477D7" w:rsidRDefault="00D477D7" w:rsidP="006A106C">
      <w:r>
        <w:separator/>
      </w:r>
    </w:p>
  </w:endnote>
  <w:endnote w:type="continuationSeparator" w:id="0">
    <w:p w14:paraId="2D7C4219" w14:textId="77777777" w:rsidR="00D477D7" w:rsidRDefault="00D477D7" w:rsidP="006A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x Offc Pro">
    <w:panose1 w:val="020B0504030101020102"/>
    <w:charset w:val="00"/>
    <w:family w:val="swiss"/>
    <w:pitch w:val="variable"/>
    <w:sig w:usb0="A00002BF" w:usb1="4000A4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x Pro 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1798DA3" w14:paraId="663BDACF" w14:textId="77777777" w:rsidTr="71798DA3">
      <w:tc>
        <w:tcPr>
          <w:tcW w:w="3120" w:type="dxa"/>
        </w:tcPr>
        <w:p w14:paraId="61B90C5F" w14:textId="64EF46C7" w:rsidR="71798DA3" w:rsidRDefault="71798DA3" w:rsidP="71798DA3">
          <w:pPr>
            <w:pStyle w:val="Header"/>
            <w:ind w:left="-115"/>
          </w:pPr>
        </w:p>
      </w:tc>
      <w:tc>
        <w:tcPr>
          <w:tcW w:w="3120" w:type="dxa"/>
        </w:tcPr>
        <w:p w14:paraId="4F4A5545" w14:textId="4062CC0C" w:rsidR="71798DA3" w:rsidRDefault="71798DA3" w:rsidP="71798DA3">
          <w:pPr>
            <w:pStyle w:val="Header"/>
            <w:jc w:val="center"/>
          </w:pPr>
        </w:p>
      </w:tc>
      <w:tc>
        <w:tcPr>
          <w:tcW w:w="3120" w:type="dxa"/>
        </w:tcPr>
        <w:p w14:paraId="6FB15957" w14:textId="27E00299" w:rsidR="71798DA3" w:rsidRDefault="71798DA3" w:rsidP="71798DA3">
          <w:pPr>
            <w:pStyle w:val="Header"/>
            <w:ind w:right="-115"/>
            <w:jc w:val="right"/>
          </w:pPr>
        </w:p>
      </w:tc>
    </w:tr>
  </w:tbl>
  <w:p w14:paraId="5A482422" w14:textId="479B64E1" w:rsidR="71798DA3" w:rsidRDefault="71798DA3" w:rsidP="71798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1798DA3" w14:paraId="47742113" w14:textId="77777777" w:rsidTr="71798DA3">
      <w:tc>
        <w:tcPr>
          <w:tcW w:w="3120" w:type="dxa"/>
        </w:tcPr>
        <w:p w14:paraId="42C3131A" w14:textId="29B7F558" w:rsidR="71798DA3" w:rsidRDefault="71798DA3" w:rsidP="71798DA3">
          <w:pPr>
            <w:pStyle w:val="Header"/>
            <w:ind w:left="-115"/>
          </w:pPr>
        </w:p>
      </w:tc>
      <w:tc>
        <w:tcPr>
          <w:tcW w:w="3120" w:type="dxa"/>
        </w:tcPr>
        <w:p w14:paraId="491D9986" w14:textId="79C58126" w:rsidR="71798DA3" w:rsidRDefault="71798DA3" w:rsidP="71798DA3">
          <w:pPr>
            <w:pStyle w:val="Header"/>
            <w:jc w:val="center"/>
          </w:pPr>
        </w:p>
      </w:tc>
      <w:tc>
        <w:tcPr>
          <w:tcW w:w="3120" w:type="dxa"/>
        </w:tcPr>
        <w:p w14:paraId="7A3CAD04" w14:textId="4D31956D" w:rsidR="71798DA3" w:rsidRDefault="71798DA3" w:rsidP="71798DA3">
          <w:pPr>
            <w:pStyle w:val="Header"/>
            <w:ind w:right="-115"/>
            <w:jc w:val="right"/>
          </w:pPr>
        </w:p>
      </w:tc>
    </w:tr>
  </w:tbl>
  <w:p w14:paraId="01A70D03" w14:textId="5AA61A2D" w:rsidR="71798DA3" w:rsidRDefault="71798DA3" w:rsidP="71798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A8E53" w14:textId="77777777" w:rsidR="00D477D7" w:rsidRDefault="00D477D7" w:rsidP="006A106C">
      <w:r>
        <w:separator/>
      </w:r>
    </w:p>
  </w:footnote>
  <w:footnote w:type="continuationSeparator" w:id="0">
    <w:p w14:paraId="7A962957" w14:textId="77777777" w:rsidR="00D477D7" w:rsidRDefault="00D477D7" w:rsidP="006A1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E2611" w14:textId="77777777" w:rsidR="00F34DC9" w:rsidRPr="006A106C" w:rsidRDefault="000D7605" w:rsidP="006A106C">
    <w:pPr>
      <w:pStyle w:val="Header"/>
      <w:rPr>
        <w:rFonts w:ascii="Dax Pro Regular" w:hAnsi="Dax Pro Regular" w:cs="Dax Pro Regular"/>
      </w:rPr>
    </w:pPr>
    <w:r>
      <w:rPr>
        <w:noProof/>
        <w:lang w:eastAsia="en-CA"/>
      </w:rPr>
      <w:drawing>
        <wp:anchor distT="0" distB="0" distL="114300" distR="114300" simplePos="0" relativeHeight="251664384" behindDoc="1" locked="1" layoutInCell="1" allowOverlap="0" wp14:anchorId="269CC456" wp14:editId="6724E325">
          <wp:simplePos x="0" y="0"/>
          <wp:positionH relativeFrom="page">
            <wp:align>left</wp:align>
          </wp:positionH>
          <wp:positionV relativeFrom="page">
            <wp:align>top</wp:align>
          </wp:positionV>
          <wp:extent cx="3218688" cy="996696"/>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O-mb-PW_2_RGB_E_WORD_LH_RBCrop.jpg"/>
                  <pic:cNvPicPr/>
                </pic:nvPicPr>
                <pic:blipFill>
                  <a:blip r:embed="rId1">
                    <a:extLst>
                      <a:ext uri="{28A0092B-C50C-407E-A947-70E740481C1C}">
                        <a14:useLocalDpi xmlns:a14="http://schemas.microsoft.com/office/drawing/2010/main" val="0"/>
                      </a:ext>
                    </a:extLst>
                  </a:blip>
                  <a:stretch>
                    <a:fillRect/>
                  </a:stretch>
                </pic:blipFill>
                <pic:spPr>
                  <a:xfrm>
                    <a:off x="0" y="0"/>
                    <a:ext cx="3218688" cy="99669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D498A" w14:textId="2FCE326B" w:rsidR="009E2F9E" w:rsidRPr="00E501A8" w:rsidRDefault="00AE5DFD" w:rsidP="009E2F9E">
    <w:pPr>
      <w:pStyle w:val="Header"/>
      <w:rPr>
        <w:b/>
      </w:rPr>
    </w:pPr>
    <w:r w:rsidRPr="00C1719A">
      <w:rPr>
        <w:noProof/>
        <w:lang w:eastAsia="en-CA"/>
      </w:rPr>
      <w:drawing>
        <wp:anchor distT="0" distB="0" distL="114300" distR="114300" simplePos="0" relativeHeight="251666432" behindDoc="1" locked="1" layoutInCell="1" allowOverlap="0" wp14:anchorId="0D2AE7DC" wp14:editId="6070BB4B">
          <wp:simplePos x="0" y="0"/>
          <wp:positionH relativeFrom="page">
            <wp:posOffset>20955</wp:posOffset>
          </wp:positionH>
          <wp:positionV relativeFrom="page">
            <wp:posOffset>57150</wp:posOffset>
          </wp:positionV>
          <wp:extent cx="7729855" cy="10003155"/>
          <wp:effectExtent l="0" t="0" r="4445" b="0"/>
          <wp:wrapNone/>
          <wp:docPr id="1" name="Picture 1">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29855" cy="10003155"/>
                  </a:xfrm>
                  <a:prstGeom prst="rect">
                    <a:avLst/>
                  </a:prstGeom>
                </pic:spPr>
              </pic:pic>
            </a:graphicData>
          </a:graphic>
          <wp14:sizeRelH relativeFrom="margin">
            <wp14:pctWidth>0</wp14:pctWidth>
          </wp14:sizeRelH>
          <wp14:sizeRelV relativeFrom="margin">
            <wp14:pctHeight>0</wp14:pctHeight>
          </wp14:sizeRelV>
        </wp:anchor>
      </w:drawing>
    </w:r>
    <w:r w:rsidR="00F16457">
      <w:rPr>
        <w:b/>
      </w:rPr>
      <w:t>Don McGugan, MBA, CFP</w:t>
    </w:r>
  </w:p>
  <w:p w14:paraId="1CBB18D0" w14:textId="048D12D4" w:rsidR="009E2F9E" w:rsidRDefault="00F16457" w:rsidP="009E2F9E">
    <w:pPr>
      <w:pStyle w:val="HeaderwithSpaceBefore"/>
    </w:pPr>
    <w:r>
      <w:t>BMO Nesbitt Burns</w:t>
    </w:r>
  </w:p>
  <w:p w14:paraId="50B3A9C5" w14:textId="77777777" w:rsidR="009E2F9E" w:rsidRPr="00E501A8" w:rsidRDefault="009E2F9E" w:rsidP="009E2F9E">
    <w:pPr>
      <w:pStyle w:val="Header"/>
    </w:pPr>
  </w:p>
  <w:p w14:paraId="1784CBFA" w14:textId="7605137B" w:rsidR="009E2F9E" w:rsidRPr="00F16457" w:rsidRDefault="00F16457" w:rsidP="009E2F9E">
    <w:pPr>
      <w:pStyle w:val="Header"/>
      <w:rPr>
        <w:rFonts w:eastAsia="MS Mincho"/>
        <w:bCs/>
        <w:szCs w:val="16"/>
        <w:lang w:val="fr-CA"/>
      </w:rPr>
    </w:pPr>
    <w:r w:rsidRPr="00F16457">
      <w:rPr>
        <w:rFonts w:eastAsia="MS Mincho"/>
        <w:bCs/>
        <w:szCs w:val="16"/>
        <w:lang w:val="fr-CA"/>
      </w:rPr>
      <w:t>100 Ouellette Avenue</w:t>
    </w:r>
  </w:p>
  <w:p w14:paraId="5C91EE64" w14:textId="1427C07F" w:rsidR="009E2F9E" w:rsidRPr="00F16457" w:rsidRDefault="00F16457" w:rsidP="009E2F9E">
    <w:pPr>
      <w:pStyle w:val="Header"/>
      <w:rPr>
        <w:rFonts w:eastAsia="MS Mincho"/>
        <w:bCs/>
        <w:szCs w:val="16"/>
        <w:lang w:val="fr-CA"/>
      </w:rPr>
    </w:pPr>
    <w:r w:rsidRPr="00F16457">
      <w:rPr>
        <w:rFonts w:eastAsia="MS Mincho"/>
        <w:bCs/>
        <w:szCs w:val="16"/>
        <w:lang w:val="fr-CA"/>
      </w:rPr>
      <w:t>Suite 100</w:t>
    </w:r>
  </w:p>
  <w:p w14:paraId="038B8D0C" w14:textId="38CF49C7" w:rsidR="009E2F9E" w:rsidRPr="00F16457" w:rsidRDefault="00F16457" w:rsidP="009E2F9E">
    <w:pPr>
      <w:pStyle w:val="Header"/>
      <w:rPr>
        <w:lang w:val="fr-CA"/>
      </w:rPr>
    </w:pPr>
    <w:r w:rsidRPr="00F16457">
      <w:rPr>
        <w:lang w:val="fr-CA"/>
      </w:rPr>
      <w:t>Windsor, Ontario, N9A 6T3</w:t>
    </w:r>
  </w:p>
  <w:p w14:paraId="4671AA66" w14:textId="11A2DA55" w:rsidR="009E2F9E" w:rsidRPr="00F16457" w:rsidRDefault="009E2F9E" w:rsidP="009E2F9E">
    <w:pPr>
      <w:pStyle w:val="Header"/>
      <w:rPr>
        <w:lang w:val="fr-CA"/>
      </w:rPr>
    </w:pPr>
  </w:p>
  <w:p w14:paraId="74CA0317" w14:textId="28A3EE67" w:rsidR="009E2F9E" w:rsidRPr="00C1719A" w:rsidRDefault="00F16457" w:rsidP="009E2F9E">
    <w:pPr>
      <w:pStyle w:val="Header"/>
    </w:pPr>
    <w:r>
      <w:rPr>
        <w:rFonts w:eastAsia="MS Mincho"/>
        <w:bCs/>
        <w:szCs w:val="16"/>
      </w:rPr>
      <w:t>Don.mcgugan@nbpcd.com</w:t>
    </w:r>
  </w:p>
  <w:p w14:paraId="2F9EA919" w14:textId="77777777" w:rsidR="009E2F9E" w:rsidRPr="00C1719A" w:rsidRDefault="009E2F9E" w:rsidP="009E2F9E">
    <w:pPr>
      <w:pStyle w:val="Header"/>
      <w:rPr>
        <w:rFonts w:eastAsia="MS Mincho"/>
        <w:bCs/>
        <w:szCs w:val="16"/>
      </w:rPr>
    </w:pPr>
  </w:p>
  <w:p w14:paraId="7CF21724" w14:textId="1BAEB2D8" w:rsidR="00E501A8" w:rsidRDefault="00E501A8" w:rsidP="00283A43">
    <w:pPr>
      <w:pStyle w:val="Header"/>
      <w:rPr>
        <w:rFonts w:eastAsia="MS Mincho"/>
        <w:bCs/>
        <w:szCs w:val="16"/>
      </w:rPr>
    </w:pPr>
  </w:p>
  <w:p w14:paraId="6E6EBF61" w14:textId="77777777" w:rsidR="00D25EFA" w:rsidRPr="00C1719A" w:rsidRDefault="00D25EFA" w:rsidP="00F53234">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B28FE"/>
    <w:multiLevelType w:val="hybridMultilevel"/>
    <w:tmpl w:val="DE5E7D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22808F1"/>
    <w:multiLevelType w:val="hybridMultilevel"/>
    <w:tmpl w:val="889658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9936A10"/>
    <w:multiLevelType w:val="hybridMultilevel"/>
    <w:tmpl w:val="7E144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716"/>
    <w:rsid w:val="00051F49"/>
    <w:rsid w:val="000613F2"/>
    <w:rsid w:val="0006731A"/>
    <w:rsid w:val="000D7605"/>
    <w:rsid w:val="000E21CE"/>
    <w:rsid w:val="000F5CA2"/>
    <w:rsid w:val="001B2C49"/>
    <w:rsid w:val="001D23FD"/>
    <w:rsid w:val="001E4641"/>
    <w:rsid w:val="001F199F"/>
    <w:rsid w:val="00225195"/>
    <w:rsid w:val="00233803"/>
    <w:rsid w:val="00283A43"/>
    <w:rsid w:val="00291DD2"/>
    <w:rsid w:val="002B651D"/>
    <w:rsid w:val="002C384F"/>
    <w:rsid w:val="003753AF"/>
    <w:rsid w:val="00385AAE"/>
    <w:rsid w:val="003D24FD"/>
    <w:rsid w:val="00404B0B"/>
    <w:rsid w:val="00432465"/>
    <w:rsid w:val="0043580D"/>
    <w:rsid w:val="00454CB0"/>
    <w:rsid w:val="0048547B"/>
    <w:rsid w:val="004A12EB"/>
    <w:rsid w:val="004A7A7F"/>
    <w:rsid w:val="005368E6"/>
    <w:rsid w:val="00580423"/>
    <w:rsid w:val="00581E2F"/>
    <w:rsid w:val="005C529B"/>
    <w:rsid w:val="005F6716"/>
    <w:rsid w:val="0065210D"/>
    <w:rsid w:val="006701B6"/>
    <w:rsid w:val="006865CC"/>
    <w:rsid w:val="006A106C"/>
    <w:rsid w:val="006C0AA0"/>
    <w:rsid w:val="00705574"/>
    <w:rsid w:val="007A51CE"/>
    <w:rsid w:val="007A66D3"/>
    <w:rsid w:val="007B06A0"/>
    <w:rsid w:val="007C6E8E"/>
    <w:rsid w:val="007E06EF"/>
    <w:rsid w:val="007F1C88"/>
    <w:rsid w:val="008C2C3D"/>
    <w:rsid w:val="008C7F20"/>
    <w:rsid w:val="00957A09"/>
    <w:rsid w:val="00965DC0"/>
    <w:rsid w:val="009E2F9E"/>
    <w:rsid w:val="00AE0E09"/>
    <w:rsid w:val="00AE5DFD"/>
    <w:rsid w:val="00AE6B77"/>
    <w:rsid w:val="00B0055E"/>
    <w:rsid w:val="00B12328"/>
    <w:rsid w:val="00B15E63"/>
    <w:rsid w:val="00C147AF"/>
    <w:rsid w:val="00C1719A"/>
    <w:rsid w:val="00C2292F"/>
    <w:rsid w:val="00C255A2"/>
    <w:rsid w:val="00D25EFA"/>
    <w:rsid w:val="00D44B0E"/>
    <w:rsid w:val="00D477D7"/>
    <w:rsid w:val="00DC06C1"/>
    <w:rsid w:val="00E14AB8"/>
    <w:rsid w:val="00E239B8"/>
    <w:rsid w:val="00E501A8"/>
    <w:rsid w:val="00E77AC7"/>
    <w:rsid w:val="00EA25DB"/>
    <w:rsid w:val="00EA53E6"/>
    <w:rsid w:val="00EC216C"/>
    <w:rsid w:val="00EE752B"/>
    <w:rsid w:val="00F10944"/>
    <w:rsid w:val="00F16457"/>
    <w:rsid w:val="00F34DC9"/>
    <w:rsid w:val="00F42DDC"/>
    <w:rsid w:val="00F53234"/>
    <w:rsid w:val="00F660CD"/>
    <w:rsid w:val="00F8290E"/>
    <w:rsid w:val="00FC0C8E"/>
    <w:rsid w:val="71798D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DEFB64"/>
  <w15:docId w15:val="{E8D91F6B-F450-43F6-BD60-98888FD3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19A"/>
    <w:pPr>
      <w:tabs>
        <w:tab w:val="center" w:pos="4680"/>
        <w:tab w:val="right" w:pos="9360"/>
      </w:tabs>
      <w:spacing w:after="0" w:line="280" w:lineRule="exact"/>
    </w:pPr>
    <w:rPr>
      <w:rFonts w:ascii="Dax Offc Pro" w:hAnsi="Dax Offc Pro"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
    <w:name w:val="Contact"/>
    <w:basedOn w:val="Normal"/>
    <w:qFormat/>
    <w:rsid w:val="00233803"/>
    <w:pPr>
      <w:spacing w:before="140"/>
    </w:pPr>
  </w:style>
  <w:style w:type="paragraph" w:styleId="Header">
    <w:name w:val="header"/>
    <w:basedOn w:val="Normal"/>
    <w:link w:val="HeaderChar"/>
    <w:uiPriority w:val="99"/>
    <w:unhideWhenUsed/>
    <w:qFormat/>
    <w:rsid w:val="0043580D"/>
    <w:pPr>
      <w:spacing w:line="180" w:lineRule="exact"/>
      <w:ind w:left="6480"/>
    </w:pPr>
    <w:rPr>
      <w:sz w:val="16"/>
    </w:rPr>
  </w:style>
  <w:style w:type="character" w:customStyle="1" w:styleId="HeaderChar">
    <w:name w:val="Header Char"/>
    <w:basedOn w:val="DefaultParagraphFont"/>
    <w:link w:val="Header"/>
    <w:uiPriority w:val="99"/>
    <w:rsid w:val="0043580D"/>
    <w:rPr>
      <w:rFonts w:ascii="Arial" w:hAnsi="Arial" w:cs="Arial"/>
      <w:sz w:val="16"/>
    </w:rPr>
  </w:style>
  <w:style w:type="paragraph" w:styleId="Footer">
    <w:name w:val="footer"/>
    <w:basedOn w:val="Normal"/>
    <w:link w:val="FooterChar"/>
    <w:uiPriority w:val="99"/>
    <w:unhideWhenUsed/>
    <w:rsid w:val="001D23FD"/>
    <w:pPr>
      <w:spacing w:line="160" w:lineRule="exact"/>
    </w:pPr>
    <w:rPr>
      <w:sz w:val="14"/>
      <w:szCs w:val="14"/>
    </w:rPr>
  </w:style>
  <w:style w:type="character" w:customStyle="1" w:styleId="FooterChar">
    <w:name w:val="Footer Char"/>
    <w:basedOn w:val="DefaultParagraphFont"/>
    <w:link w:val="Footer"/>
    <w:uiPriority w:val="99"/>
    <w:rsid w:val="001D23FD"/>
    <w:rPr>
      <w:rFonts w:ascii="Dax Offc Pro" w:hAnsi="Dax Offc Pro" w:cs="Arial"/>
      <w:sz w:val="14"/>
      <w:szCs w:val="14"/>
    </w:rPr>
  </w:style>
  <w:style w:type="paragraph" w:customStyle="1" w:styleId="BasicParagraph">
    <w:name w:val="[Basic Paragraph]"/>
    <w:basedOn w:val="Normal"/>
    <w:uiPriority w:val="99"/>
    <w:rsid w:val="00225195"/>
    <w:rPr>
      <w:lang w:val="en-US"/>
    </w:rPr>
  </w:style>
  <w:style w:type="character" w:styleId="Strong">
    <w:name w:val="Strong"/>
    <w:basedOn w:val="DefaultParagraphFont"/>
    <w:uiPriority w:val="22"/>
    <w:qFormat/>
    <w:rsid w:val="006A106C"/>
    <w:rPr>
      <w:b/>
      <w:bCs/>
    </w:rPr>
  </w:style>
  <w:style w:type="paragraph" w:customStyle="1" w:styleId="HeaderwithSpaceBefore">
    <w:name w:val="Header with Space Before"/>
    <w:basedOn w:val="Header"/>
    <w:next w:val="Header"/>
    <w:qFormat/>
    <w:rsid w:val="006A106C"/>
    <w:pPr>
      <w:spacing w:before="90"/>
    </w:pPr>
  </w:style>
  <w:style w:type="paragraph" w:customStyle="1" w:styleId="HeaderLegalEntity">
    <w:name w:val="Header Legal Entity"/>
    <w:basedOn w:val="Header"/>
    <w:next w:val="Header"/>
    <w:link w:val="HeaderLegalEntityChar"/>
    <w:qFormat/>
    <w:rsid w:val="006A106C"/>
    <w:pPr>
      <w:spacing w:before="90"/>
    </w:pPr>
    <w:rPr>
      <w:b/>
    </w:rPr>
  </w:style>
  <w:style w:type="character" w:styleId="PlaceholderText">
    <w:name w:val="Placeholder Text"/>
    <w:basedOn w:val="DefaultParagraphFont"/>
    <w:uiPriority w:val="99"/>
    <w:semiHidden/>
    <w:rsid w:val="00B0055E"/>
    <w:rPr>
      <w:color w:val="808080"/>
    </w:rPr>
  </w:style>
  <w:style w:type="paragraph" w:styleId="NoSpacing">
    <w:name w:val="No Spacing"/>
    <w:basedOn w:val="Normal"/>
    <w:uiPriority w:val="1"/>
    <w:qFormat/>
    <w:rsid w:val="00E239B8"/>
    <w:pPr>
      <w:tabs>
        <w:tab w:val="clear" w:pos="4680"/>
        <w:tab w:val="clear" w:pos="9360"/>
        <w:tab w:val="left" w:pos="360"/>
        <w:tab w:val="left" w:pos="720"/>
        <w:tab w:val="left" w:pos="1080"/>
        <w:tab w:val="left" w:pos="1440"/>
      </w:tabs>
      <w:adjustRightInd w:val="0"/>
      <w:snapToGrid w:val="0"/>
      <w:spacing w:line="260" w:lineRule="exact"/>
    </w:pPr>
    <w:rPr>
      <w:rFonts w:cs="Times New Roman (Body CS)"/>
      <w:color w:val="000000" w:themeColor="text1"/>
      <w:kern w:val="10"/>
      <w:sz w:val="18"/>
      <w:szCs w:val="24"/>
      <w:lang w:val="en-US"/>
    </w:rPr>
  </w:style>
  <w:style w:type="paragraph" w:customStyle="1" w:styleId="DropDownStyle">
    <w:name w:val="Drop Down Style"/>
    <w:basedOn w:val="HeaderLegalEntity"/>
    <w:link w:val="DropDownStyleChar"/>
    <w:rsid w:val="008C7F20"/>
    <w:rPr>
      <w:b w:val="0"/>
    </w:rPr>
  </w:style>
  <w:style w:type="character" w:customStyle="1" w:styleId="HeaderLegalEntityChar">
    <w:name w:val="Header Legal Entity Char"/>
    <w:basedOn w:val="HeaderChar"/>
    <w:link w:val="HeaderLegalEntity"/>
    <w:rsid w:val="008C7F20"/>
    <w:rPr>
      <w:rFonts w:ascii="Arial" w:hAnsi="Arial" w:cs="Arial"/>
      <w:b/>
      <w:sz w:val="16"/>
    </w:rPr>
  </w:style>
  <w:style w:type="character" w:customStyle="1" w:styleId="DropDownStyleChar">
    <w:name w:val="Drop Down Style Char"/>
    <w:basedOn w:val="HeaderLegalEntityChar"/>
    <w:link w:val="DropDownStyle"/>
    <w:rsid w:val="008C7F20"/>
    <w:rPr>
      <w:rFonts w:ascii="Arial" w:hAnsi="Arial" w:cs="Arial"/>
      <w:b w:val="0"/>
      <w:sz w:val="16"/>
    </w:rPr>
  </w:style>
  <w:style w:type="paragraph" w:styleId="BalloonText">
    <w:name w:val="Balloon Text"/>
    <w:basedOn w:val="Normal"/>
    <w:link w:val="BalloonTextChar"/>
    <w:uiPriority w:val="99"/>
    <w:semiHidden/>
    <w:unhideWhenUsed/>
    <w:rsid w:val="00EA53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3E6"/>
    <w:rPr>
      <w:rFonts w:ascii="Tahoma" w:hAnsi="Tahoma" w:cs="Tahoma"/>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05574"/>
    <w:pPr>
      <w:tabs>
        <w:tab w:val="clear" w:pos="4680"/>
        <w:tab w:val="clear" w:pos="9360"/>
      </w:tabs>
      <w:spacing w:line="240" w:lineRule="auto"/>
      <w:ind w:left="720"/>
      <w:contextualSpacing/>
    </w:pPr>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4C1B32E6A2B248B4D4DCCD05CCDE70" ma:contentTypeVersion="0" ma:contentTypeDescription="Create a new document." ma:contentTypeScope="" ma:versionID="821f4186fa9d77e2d73b46d4ae40f51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11FB6-21CA-4149-A319-A69493CCC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F386F8-7068-474B-872D-44DF37C59180}">
  <ds:schemaRefs>
    <ds:schemaRef ds:uri="http://schemas.microsoft.com/sharepoint/v3/contenttype/forms"/>
  </ds:schemaRefs>
</ds:datastoreItem>
</file>

<file path=customXml/itemProps3.xml><?xml version="1.0" encoding="utf-8"?>
<ds:datastoreItem xmlns:ds="http://schemas.openxmlformats.org/officeDocument/2006/customXml" ds:itemID="{CB5BEE5E-E254-4DED-8425-5A05978FF980}">
  <ds:schemaRefs>
    <ds:schemaRef ds:uri="http://schemas.openxmlformats.org/package/2006/metadata/core-properties"/>
    <ds:schemaRef ds:uri="http://purl.org/dc/elements/1.1/"/>
    <ds:schemaRef ds:uri="http://purl.org/dc/terms/"/>
    <ds:schemaRef ds:uri="http://schemas.microsoft.com/office/2006/documentManagement/types"/>
    <ds:schemaRef ds:uri="http://purl.org/dc/dcmitype/"/>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23CB559-461E-4834-B1F5-2046AE2AE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BMO Financial Group</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McGugan, Don</cp:lastModifiedBy>
  <cp:revision>2</cp:revision>
  <dcterms:created xsi:type="dcterms:W3CDTF">2021-07-07T17:49:00Z</dcterms:created>
  <dcterms:modified xsi:type="dcterms:W3CDTF">2021-07-07T17:49:00Z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0x010100114C1B32E6A2B248B4D4DCCD05CCDE70</vt:lpwstr>
  </property>
</Properties>
</file>