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FE840B" w14:textId="77777777" w:rsidR="00661BB8" w:rsidRPr="00661BB8" w:rsidRDefault="00661BB8" w:rsidP="00661BB8">
      <w:pPr>
        <w:tabs>
          <w:tab w:val="clear" w:pos="4680"/>
          <w:tab w:val="clear" w:pos="9360"/>
        </w:tabs>
        <w:spacing w:after="200" w:line="276" w:lineRule="auto"/>
        <w:rPr>
          <w:rFonts w:ascii="Calibri" w:eastAsia="Calibri" w:hAnsi="Calibri" w:cs="Times New Roman"/>
          <w:b/>
        </w:rPr>
      </w:pPr>
      <w:bookmarkStart w:id="0" w:name="_GoBack"/>
      <w:r w:rsidRPr="00661BB8">
        <w:rPr>
          <w:rFonts w:ascii="Calibri" w:eastAsia="Calibri" w:hAnsi="Calibri" w:cs="Times New Roman"/>
          <w:b/>
        </w:rPr>
        <w:t>October 2020 – Political events don’t matter to markets – a look at market reactions to political events</w:t>
      </w:r>
    </w:p>
    <w:bookmarkEnd w:id="0"/>
    <w:p w14:paraId="281CA78A" w14:textId="77777777" w:rsidR="00661BB8" w:rsidRPr="00661BB8" w:rsidRDefault="00661BB8" w:rsidP="00661BB8">
      <w:pPr>
        <w:tabs>
          <w:tab w:val="clear" w:pos="4680"/>
          <w:tab w:val="clear" w:pos="9360"/>
        </w:tabs>
        <w:spacing w:after="200" w:line="276" w:lineRule="auto"/>
        <w:rPr>
          <w:rFonts w:ascii="Calibri" w:eastAsia="Calibri" w:hAnsi="Calibri" w:cs="Times New Roman"/>
        </w:rPr>
      </w:pPr>
      <w:r w:rsidRPr="00661BB8">
        <w:rPr>
          <w:rFonts w:ascii="Calibri" w:eastAsia="Calibri" w:hAnsi="Calibri" w:cs="Times New Roman"/>
        </w:rPr>
        <w:t xml:space="preserve">You will hear a great deal of information over the next 2 weeks as we approach and then pass the U.S. Presidential election.  There will be articles in newspapers and on the internet on how important this is, how it will impact markets, companies, the economy, </w:t>
      </w:r>
      <w:proofErr w:type="spellStart"/>
      <w:r w:rsidRPr="00661BB8">
        <w:rPr>
          <w:rFonts w:ascii="Calibri" w:eastAsia="Calibri" w:hAnsi="Calibri" w:cs="Times New Roman"/>
        </w:rPr>
        <w:t>etc</w:t>
      </w:r>
      <w:proofErr w:type="spellEnd"/>
      <w:r w:rsidRPr="00661BB8">
        <w:rPr>
          <w:rFonts w:ascii="Calibri" w:eastAsia="Calibri" w:hAnsi="Calibri" w:cs="Times New Roman"/>
        </w:rPr>
        <w:t>, etc.</w:t>
      </w:r>
    </w:p>
    <w:p w14:paraId="6E541140" w14:textId="77777777" w:rsidR="00661BB8" w:rsidRPr="00661BB8" w:rsidRDefault="00661BB8" w:rsidP="00661BB8">
      <w:pPr>
        <w:tabs>
          <w:tab w:val="clear" w:pos="4680"/>
          <w:tab w:val="clear" w:pos="9360"/>
        </w:tabs>
        <w:spacing w:after="200" w:line="276" w:lineRule="auto"/>
        <w:rPr>
          <w:rFonts w:ascii="Calibri" w:eastAsia="Calibri" w:hAnsi="Calibri" w:cs="Times New Roman"/>
        </w:rPr>
      </w:pPr>
      <w:r w:rsidRPr="00661BB8">
        <w:rPr>
          <w:rFonts w:ascii="Calibri" w:eastAsia="Calibri" w:hAnsi="Calibri" w:cs="Times New Roman"/>
        </w:rPr>
        <w:t>But is any of this things you read important?  Do political events (elections, war and crisis) impact markets?  Let’s take a look at significant events and their market impact.</w:t>
      </w:r>
    </w:p>
    <w:p w14:paraId="2A26C654"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Assassination of John F Kennedy – on November 23, 1963, President Kennedy was assassinated – the stock market in New York closed at 2:07 p.m. (usually closes at 4:00 pm) and was lower by 2.8%.  The market regained the 2.8% decline in 2 days.</w:t>
      </w:r>
    </w:p>
    <w:p w14:paraId="2C934495"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Cuban Missile Crisis – in 1962, President Kennedy enforced a blockade of Cuba after missiles that were capable of carrying nuclear weapons were found in Cuba.  We were very close to nuclear war.  The stock market was down by 2.7%</w:t>
      </w:r>
    </w:p>
    <w:p w14:paraId="28BAC738"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March 31, 1981 – President Regan narrowly avoided assassination by John Hinckley.  The stock market was down by 1.2%.</w:t>
      </w:r>
    </w:p>
    <w:p w14:paraId="207986F0"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August 8, 1075 – President Nixon resigned – the stock market was down by 1.1%</w:t>
      </w:r>
    </w:p>
    <w:p w14:paraId="713A65A0"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September 1, 1939 – Germany invaded Poland to start World War 2 – the US Stock market was up by 9.5%</w:t>
      </w:r>
    </w:p>
    <w:p w14:paraId="68598D0E"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December 7, 1941 – Japan attacked Pearl Harbour- the US stock market closed down 2.6%.</w:t>
      </w:r>
    </w:p>
    <w:p w14:paraId="4E853B82"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When Martin Luther King and when Robert Kennedy were killed, the stock market closed down 1% each time.</w:t>
      </w:r>
    </w:p>
    <w:p w14:paraId="6848D9DE"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 xml:space="preserve">September 11, 2001 – the terrorist attack in New York – the market sold off when it opened the following week by 5%, but by November 11, 2001, the stock market had regained that loss and kept rising to the </w:t>
      </w:r>
      <w:proofErr w:type="gramStart"/>
      <w:r w:rsidRPr="00661BB8">
        <w:rPr>
          <w:rFonts w:ascii="Calibri" w:eastAsia="Calibri" w:hAnsi="Calibri" w:cs="Times New Roman"/>
        </w:rPr>
        <w:t>Spring</w:t>
      </w:r>
      <w:proofErr w:type="gramEnd"/>
      <w:r w:rsidRPr="00661BB8">
        <w:rPr>
          <w:rFonts w:ascii="Calibri" w:eastAsia="Calibri" w:hAnsi="Calibri" w:cs="Times New Roman"/>
        </w:rPr>
        <w:t xml:space="preserve"> of 2002.</w:t>
      </w:r>
    </w:p>
    <w:p w14:paraId="4DDB0C37"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September 23, 1998 – hedge fund Long-term Capital Management went bankrupt – the stock market closed down 2.2%</w:t>
      </w:r>
    </w:p>
    <w:p w14:paraId="67706967"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Brexit in June 2016 – the market went down 5% in 2 day – a week later, the market was higher than before the Brexit vote was announced.</w:t>
      </w:r>
    </w:p>
    <w:p w14:paraId="5E8882F0" w14:textId="77777777" w:rsidR="00661BB8" w:rsidRPr="00661BB8" w:rsidRDefault="00661BB8" w:rsidP="00661BB8">
      <w:pPr>
        <w:numPr>
          <w:ilvl w:val="0"/>
          <w:numId w:val="1"/>
        </w:numPr>
        <w:tabs>
          <w:tab w:val="clear" w:pos="4680"/>
          <w:tab w:val="clear" w:pos="9360"/>
        </w:tabs>
        <w:spacing w:after="200" w:line="276" w:lineRule="auto"/>
        <w:contextualSpacing/>
        <w:rPr>
          <w:rFonts w:ascii="Calibri" w:eastAsia="Calibri" w:hAnsi="Calibri" w:cs="Times New Roman"/>
        </w:rPr>
      </w:pPr>
      <w:r w:rsidRPr="00661BB8">
        <w:rPr>
          <w:rFonts w:ascii="Calibri" w:eastAsia="Calibri" w:hAnsi="Calibri" w:cs="Times New Roman"/>
        </w:rPr>
        <w:t xml:space="preserve">The Election of Donald Trump – the market went down 5% overnight, the market opened the day after the election higher and was up 6% from the election to December 20, 2016. </w:t>
      </w:r>
    </w:p>
    <w:p w14:paraId="361407F5" w14:textId="77777777" w:rsidR="00661BB8" w:rsidRPr="00661BB8" w:rsidRDefault="00661BB8" w:rsidP="00661BB8">
      <w:pPr>
        <w:tabs>
          <w:tab w:val="clear" w:pos="4680"/>
          <w:tab w:val="clear" w:pos="9360"/>
          <w:tab w:val="num" w:pos="720"/>
        </w:tabs>
        <w:spacing w:after="200" w:line="276" w:lineRule="auto"/>
        <w:ind w:left="360"/>
        <w:rPr>
          <w:rFonts w:ascii="Calibri" w:eastAsia="Calibri" w:hAnsi="Calibri" w:cs="Times New Roman"/>
        </w:rPr>
      </w:pPr>
      <w:r w:rsidRPr="00661BB8">
        <w:rPr>
          <w:rFonts w:ascii="Calibri" w:eastAsia="Calibri" w:hAnsi="Calibri" w:cs="Times New Roman"/>
        </w:rPr>
        <w:t>I could go on and on, but overall, he stock market tends to rebound quickly once it is determined that the economy won’t be irreparably harmed by the event.  Most events I have listed above are emotional events, not economic events.</w:t>
      </w:r>
    </w:p>
    <w:p w14:paraId="39820285" w14:textId="77777777" w:rsidR="00661BB8" w:rsidRPr="00661BB8" w:rsidRDefault="00661BB8" w:rsidP="00661BB8">
      <w:pPr>
        <w:tabs>
          <w:tab w:val="clear" w:pos="4680"/>
          <w:tab w:val="clear" w:pos="9360"/>
          <w:tab w:val="num" w:pos="720"/>
        </w:tabs>
        <w:spacing w:after="200" w:line="276" w:lineRule="auto"/>
        <w:ind w:left="360"/>
        <w:rPr>
          <w:rFonts w:ascii="Calibri" w:eastAsia="Calibri" w:hAnsi="Calibri" w:cs="Times New Roman"/>
          <w:b/>
        </w:rPr>
      </w:pPr>
      <w:r w:rsidRPr="00661BB8">
        <w:rPr>
          <w:rFonts w:ascii="Calibri" w:eastAsia="Calibri" w:hAnsi="Calibri" w:cs="Times New Roman"/>
          <w:b/>
        </w:rPr>
        <w:lastRenderedPageBreak/>
        <w:t>I look at the stock market, in the short term, as if it were a 6 month old child – a loud noise happens, there is an immediate reaction, then when the noise ends, the 6 month old returns to what they were doing before the noise, completely forgetting that the noise happened.</w:t>
      </w:r>
    </w:p>
    <w:p w14:paraId="4BA76ADA" w14:textId="77777777" w:rsidR="00661BB8" w:rsidRPr="00661BB8" w:rsidRDefault="00661BB8" w:rsidP="00661BB8">
      <w:pPr>
        <w:tabs>
          <w:tab w:val="clear" w:pos="4680"/>
          <w:tab w:val="clear" w:pos="9360"/>
        </w:tabs>
        <w:spacing w:after="200" w:line="276" w:lineRule="auto"/>
        <w:ind w:left="360"/>
        <w:rPr>
          <w:rFonts w:ascii="Calibri" w:eastAsia="Calibri" w:hAnsi="Calibri" w:cs="Times New Roman"/>
        </w:rPr>
      </w:pPr>
      <w:r w:rsidRPr="00661BB8">
        <w:rPr>
          <w:rFonts w:ascii="Calibri" w:eastAsia="Calibri" w:hAnsi="Calibri" w:cs="Times New Roman"/>
        </w:rPr>
        <w:t>On a median basis, shocks normally cause stocks to bottom out 6 days after the shock hits a for a total drop of 5.3% and it has taken just 14 days (on average) for the market to recover all its losses.</w:t>
      </w:r>
      <w:r w:rsidRPr="00661BB8">
        <w:rPr>
          <w:rFonts w:ascii="Calibri" w:eastAsia="Calibri" w:hAnsi="Calibri" w:cs="Times New Roman"/>
          <w:vertAlign w:val="superscript"/>
        </w:rPr>
        <w:footnoteReference w:id="1"/>
      </w:r>
    </w:p>
    <w:p w14:paraId="70BB126C" w14:textId="77777777" w:rsidR="00661BB8" w:rsidRPr="00661BB8" w:rsidRDefault="00661BB8" w:rsidP="00661BB8">
      <w:pPr>
        <w:tabs>
          <w:tab w:val="clear" w:pos="4680"/>
          <w:tab w:val="clear" w:pos="9360"/>
        </w:tabs>
        <w:spacing w:after="200" w:line="276" w:lineRule="auto"/>
        <w:ind w:left="360"/>
        <w:rPr>
          <w:rFonts w:ascii="Calibri" w:eastAsia="Calibri" w:hAnsi="Calibri" w:cs="Times New Roman"/>
        </w:rPr>
      </w:pPr>
      <w:r w:rsidRPr="00661BB8">
        <w:rPr>
          <w:rFonts w:ascii="Calibri" w:eastAsia="Calibri" w:hAnsi="Calibri" w:cs="Times New Roman"/>
        </w:rPr>
        <w:t xml:space="preserve">The most important item that moves market over time is the economy – if a company is making more money, their stock will go up.  If the company is making less money, the stock will go down.  It doesn’t matter if it’s a Republican in power or a Democrat in power or a paperclip in power.  Stocks move over time due to earnings, not announcements or events.  At the end of the day, companies have to sell more of their products or services at a profitable level – Starbucks has to sell more coffee, Boeing has to sell more planes, Apple has to sell more </w:t>
      </w:r>
      <w:proofErr w:type="spellStart"/>
      <w:r w:rsidRPr="00661BB8">
        <w:rPr>
          <w:rFonts w:ascii="Calibri" w:eastAsia="Calibri" w:hAnsi="Calibri" w:cs="Times New Roman"/>
        </w:rPr>
        <w:t>iphones</w:t>
      </w:r>
      <w:proofErr w:type="spellEnd"/>
      <w:r w:rsidRPr="00661BB8">
        <w:rPr>
          <w:rFonts w:ascii="Calibri" w:eastAsia="Calibri" w:hAnsi="Calibri" w:cs="Times New Roman"/>
        </w:rPr>
        <w:t xml:space="preserve"> – these things are not impacted by who is in power.</w:t>
      </w:r>
    </w:p>
    <w:p w14:paraId="53BEA248" w14:textId="77777777" w:rsidR="00661BB8" w:rsidRPr="00661BB8" w:rsidRDefault="00661BB8" w:rsidP="00661BB8">
      <w:pPr>
        <w:tabs>
          <w:tab w:val="clear" w:pos="4680"/>
          <w:tab w:val="clear" w:pos="9360"/>
        </w:tabs>
        <w:spacing w:after="200" w:line="276" w:lineRule="auto"/>
        <w:rPr>
          <w:rFonts w:ascii="Calibri" w:eastAsia="Calibri" w:hAnsi="Calibri" w:cs="Times New Roman"/>
        </w:rPr>
      </w:pPr>
      <w:r w:rsidRPr="00661BB8">
        <w:rPr>
          <w:rFonts w:ascii="Calibri" w:eastAsia="Calibri" w:hAnsi="Calibri" w:cs="Times New Roman"/>
        </w:rPr>
        <w:t>Now, very few newspapers or media outlets will give you this detail – it doesn’t sell ads if you write an article or go on TV and say that the election doesn’t matter (don’t forget the media is there to sell ads…many are public companies, that’s what they are supposed to do…if they happen to inform you as well, that’s a side benefit).  But don’t forget, as you hear a bunch of information throughout the next few weeks, its profits that drive the stocks in the market quarter to quarter and year to year, not the election.</w:t>
      </w:r>
    </w:p>
    <w:p w14:paraId="53649752" w14:textId="77777777" w:rsidR="00661BB8" w:rsidRPr="00661BB8" w:rsidRDefault="00661BB8" w:rsidP="00661BB8">
      <w:pPr>
        <w:tabs>
          <w:tab w:val="clear" w:pos="4680"/>
          <w:tab w:val="clear" w:pos="9360"/>
        </w:tabs>
        <w:spacing w:after="200" w:line="276" w:lineRule="auto"/>
        <w:rPr>
          <w:rFonts w:ascii="Calibri" w:eastAsia="Calibri" w:hAnsi="Calibri" w:cs="Times New Roman"/>
        </w:rPr>
      </w:pPr>
      <w:r w:rsidRPr="00661BB8">
        <w:rPr>
          <w:rFonts w:ascii="Calibri" w:eastAsia="Calibri" w:hAnsi="Calibri" w:cs="Times New Roman"/>
        </w:rPr>
        <w:t>I hope you are well.  Please let me know if you have any questions or problems</w:t>
      </w:r>
    </w:p>
    <w:p w14:paraId="550E0598" w14:textId="77777777" w:rsidR="00661BB8" w:rsidRPr="00661BB8" w:rsidRDefault="00661BB8" w:rsidP="00661BB8">
      <w:pPr>
        <w:tabs>
          <w:tab w:val="clear" w:pos="4680"/>
          <w:tab w:val="clear" w:pos="9360"/>
        </w:tabs>
        <w:spacing w:after="200" w:line="276" w:lineRule="auto"/>
        <w:rPr>
          <w:rFonts w:ascii="Calibri" w:eastAsia="Calibri" w:hAnsi="Calibri" w:cs="Times New Roman"/>
        </w:rPr>
      </w:pPr>
      <w:r w:rsidRPr="00661BB8">
        <w:rPr>
          <w:rFonts w:ascii="Calibri" w:eastAsia="Calibri" w:hAnsi="Calibri" w:cs="Times New Roman"/>
        </w:rPr>
        <w:t>Stay safe.</w:t>
      </w:r>
    </w:p>
    <w:p w14:paraId="15F98C23" w14:textId="77777777" w:rsidR="00661BB8" w:rsidRPr="00661BB8" w:rsidRDefault="00661BB8" w:rsidP="00661BB8">
      <w:pPr>
        <w:tabs>
          <w:tab w:val="clear" w:pos="4680"/>
          <w:tab w:val="clear" w:pos="9360"/>
        </w:tabs>
        <w:spacing w:after="200" w:line="276" w:lineRule="auto"/>
        <w:rPr>
          <w:rFonts w:ascii="Calibri" w:eastAsia="Calibri" w:hAnsi="Calibri" w:cs="Times New Roman"/>
        </w:rPr>
      </w:pPr>
      <w:r w:rsidRPr="00661BB8">
        <w:rPr>
          <w:rFonts w:ascii="Calibri" w:eastAsia="Calibri" w:hAnsi="Calibri" w:cs="Times New Roman"/>
        </w:rPr>
        <w:t>Don</w:t>
      </w:r>
    </w:p>
    <w:p w14:paraId="5487F45B" w14:textId="57B91B8F" w:rsidR="00AE5DFD" w:rsidRPr="00051F49" w:rsidRDefault="00AE5DFD" w:rsidP="00051F49"/>
    <w:sectPr w:rsidR="00AE5DFD" w:rsidRPr="00051F49" w:rsidSect="00D25EFA">
      <w:headerReference w:type="default" r:id="rId12"/>
      <w:footerReference w:type="default" r:id="rId13"/>
      <w:headerReference w:type="first" r:id="rId14"/>
      <w:footerReference w:type="first" r:id="rId15"/>
      <w:pgSz w:w="12240" w:h="15840" w:code="1"/>
      <w:pgMar w:top="3261" w:right="1440" w:bottom="720" w:left="1440" w:header="1282" w:footer="7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1164BF" w14:textId="77777777" w:rsidR="00D477D7" w:rsidRDefault="00D477D7" w:rsidP="006A106C">
      <w:r>
        <w:separator/>
      </w:r>
    </w:p>
  </w:endnote>
  <w:endnote w:type="continuationSeparator" w:id="0">
    <w:p w14:paraId="2D7C4219" w14:textId="77777777" w:rsidR="00D477D7" w:rsidRDefault="00D477D7" w:rsidP="006A1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Dax Offc Pro">
    <w:panose1 w:val="020B0504030101020102"/>
    <w:charset w:val="00"/>
    <w:family w:val="swiss"/>
    <w:pitch w:val="variable"/>
    <w:sig w:usb0="A00002BF" w:usb1="4000A4FB" w:usb2="00000000" w:usb3="00000000" w:csb0="0000009F" w:csb1="00000000"/>
  </w:font>
  <w:font w:name="Arial">
    <w:panose1 w:val="020B0604020202020204"/>
    <w:charset w:val="00"/>
    <w:family w:val="swiss"/>
    <w:pitch w:val="variable"/>
    <w:sig w:usb0="20002A87" w:usb1="00000000" w:usb2="00000000" w:usb3="00000000" w:csb0="000001FF" w:csb1="00000000"/>
  </w:font>
  <w:font w:name="Times New Roman (Body CS)">
    <w:altName w:val="Times New Roman"/>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x Pro Regular">
    <w:altName w:val="Calibri"/>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20"/>
      <w:gridCol w:w="3120"/>
      <w:gridCol w:w="3120"/>
    </w:tblGrid>
    <w:tr w:rsidR="71798DA3" w14:paraId="663BDACF" w14:textId="77777777" w:rsidTr="71798DA3">
      <w:tc>
        <w:tcPr>
          <w:tcW w:w="3120" w:type="dxa"/>
        </w:tcPr>
        <w:p w14:paraId="61B90C5F" w14:textId="64EF46C7" w:rsidR="71798DA3" w:rsidRDefault="71798DA3" w:rsidP="71798DA3">
          <w:pPr>
            <w:pStyle w:val="Header"/>
            <w:ind w:left="-115"/>
          </w:pPr>
        </w:p>
      </w:tc>
      <w:tc>
        <w:tcPr>
          <w:tcW w:w="3120" w:type="dxa"/>
        </w:tcPr>
        <w:p w14:paraId="4F4A5545" w14:textId="4062CC0C" w:rsidR="71798DA3" w:rsidRDefault="71798DA3" w:rsidP="71798DA3">
          <w:pPr>
            <w:pStyle w:val="Header"/>
            <w:jc w:val="center"/>
          </w:pPr>
        </w:p>
      </w:tc>
      <w:tc>
        <w:tcPr>
          <w:tcW w:w="3120" w:type="dxa"/>
        </w:tcPr>
        <w:p w14:paraId="6FB15957" w14:textId="27E00299" w:rsidR="71798DA3" w:rsidRDefault="71798DA3" w:rsidP="71798DA3">
          <w:pPr>
            <w:pStyle w:val="Header"/>
            <w:ind w:right="-115"/>
            <w:jc w:val="right"/>
          </w:pPr>
        </w:p>
      </w:tc>
    </w:tr>
  </w:tbl>
  <w:p w14:paraId="5A482422" w14:textId="479B64E1" w:rsidR="71798DA3" w:rsidRDefault="71798DA3" w:rsidP="71798DA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120"/>
      <w:gridCol w:w="3120"/>
      <w:gridCol w:w="3120"/>
    </w:tblGrid>
    <w:tr w:rsidR="71798DA3" w14:paraId="47742113" w14:textId="77777777" w:rsidTr="71798DA3">
      <w:tc>
        <w:tcPr>
          <w:tcW w:w="3120" w:type="dxa"/>
        </w:tcPr>
        <w:p w14:paraId="42C3131A" w14:textId="29B7F558" w:rsidR="71798DA3" w:rsidRDefault="71798DA3" w:rsidP="71798DA3">
          <w:pPr>
            <w:pStyle w:val="Header"/>
            <w:ind w:left="-115"/>
          </w:pPr>
        </w:p>
      </w:tc>
      <w:tc>
        <w:tcPr>
          <w:tcW w:w="3120" w:type="dxa"/>
        </w:tcPr>
        <w:p w14:paraId="491D9986" w14:textId="79C58126" w:rsidR="71798DA3" w:rsidRDefault="71798DA3" w:rsidP="71798DA3">
          <w:pPr>
            <w:pStyle w:val="Header"/>
            <w:jc w:val="center"/>
          </w:pPr>
        </w:p>
      </w:tc>
      <w:tc>
        <w:tcPr>
          <w:tcW w:w="3120" w:type="dxa"/>
        </w:tcPr>
        <w:p w14:paraId="7A3CAD04" w14:textId="4D31956D" w:rsidR="71798DA3" w:rsidRDefault="71798DA3" w:rsidP="71798DA3">
          <w:pPr>
            <w:pStyle w:val="Header"/>
            <w:ind w:right="-115"/>
            <w:jc w:val="right"/>
          </w:pPr>
        </w:p>
      </w:tc>
    </w:tr>
  </w:tbl>
  <w:p w14:paraId="01A70D03" w14:textId="5AA61A2D" w:rsidR="71798DA3" w:rsidRDefault="71798DA3" w:rsidP="71798D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AA8E53" w14:textId="77777777" w:rsidR="00D477D7" w:rsidRDefault="00D477D7" w:rsidP="006A106C">
      <w:r>
        <w:separator/>
      </w:r>
    </w:p>
  </w:footnote>
  <w:footnote w:type="continuationSeparator" w:id="0">
    <w:p w14:paraId="7A962957" w14:textId="77777777" w:rsidR="00D477D7" w:rsidRDefault="00D477D7" w:rsidP="006A106C">
      <w:r>
        <w:continuationSeparator/>
      </w:r>
    </w:p>
  </w:footnote>
  <w:footnote w:id="1">
    <w:p w14:paraId="2181CE1E" w14:textId="77777777" w:rsidR="00661BB8" w:rsidRDefault="00661BB8" w:rsidP="00661BB8">
      <w:pPr>
        <w:pStyle w:val="FootnoteText"/>
      </w:pPr>
      <w:r>
        <w:rPr>
          <w:rStyle w:val="FootnoteReference"/>
        </w:rPr>
        <w:footnoteRef/>
      </w:r>
      <w:r>
        <w:t xml:space="preserve"> </w:t>
      </w:r>
      <w:r w:rsidRPr="00E2752B">
        <w:t>http://www.crossingwallstreet.com/archives/2013/11/what-happens-to-stocks-when-disaster-strikes.html?utm_source=feedburner&amp;utm_medium=feed&amp;utm_campaign=Feed%3A+Crossingwallstreet+%28Crossing+Wall+Street%29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6E2611" w14:textId="77777777" w:rsidR="00F34DC9" w:rsidRPr="006A106C" w:rsidRDefault="000D7605" w:rsidP="006A106C">
    <w:pPr>
      <w:pStyle w:val="Header"/>
      <w:rPr>
        <w:rFonts w:ascii="Dax Pro Regular" w:hAnsi="Dax Pro Regular" w:cs="Dax Pro Regular"/>
      </w:rPr>
    </w:pPr>
    <w:r>
      <w:rPr>
        <w:noProof/>
        <w:lang w:eastAsia="en-CA"/>
      </w:rPr>
      <w:drawing>
        <wp:anchor distT="0" distB="0" distL="114300" distR="114300" simplePos="0" relativeHeight="251664384" behindDoc="1" locked="1" layoutInCell="1" allowOverlap="0" wp14:anchorId="269CC456" wp14:editId="6724E325">
          <wp:simplePos x="0" y="0"/>
          <wp:positionH relativeFrom="page">
            <wp:align>left</wp:align>
          </wp:positionH>
          <wp:positionV relativeFrom="page">
            <wp:align>top</wp:align>
          </wp:positionV>
          <wp:extent cx="3218688" cy="996696"/>
          <wp:effectExtent l="0" t="0" r="127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MO-mb-PW_2_RGB_E_WORD_LH_RBCrop.jpg"/>
                  <pic:cNvPicPr/>
                </pic:nvPicPr>
                <pic:blipFill>
                  <a:blip r:embed="rId1">
                    <a:extLst>
                      <a:ext uri="{28A0092B-C50C-407E-A947-70E740481C1C}">
                        <a14:useLocalDpi xmlns:a14="http://schemas.microsoft.com/office/drawing/2010/main" val="0"/>
                      </a:ext>
                    </a:extLst>
                  </a:blip>
                  <a:stretch>
                    <a:fillRect/>
                  </a:stretch>
                </pic:blipFill>
                <pic:spPr>
                  <a:xfrm>
                    <a:off x="0" y="0"/>
                    <a:ext cx="3218688" cy="996696"/>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BD498A" w14:textId="2FCE326B" w:rsidR="009E2F9E" w:rsidRPr="00E501A8" w:rsidRDefault="00AE5DFD" w:rsidP="009E2F9E">
    <w:pPr>
      <w:pStyle w:val="Header"/>
      <w:rPr>
        <w:b/>
      </w:rPr>
    </w:pPr>
    <w:r w:rsidRPr="00C1719A">
      <w:rPr>
        <w:noProof/>
        <w:lang w:eastAsia="en-CA"/>
      </w:rPr>
      <w:drawing>
        <wp:anchor distT="0" distB="0" distL="114300" distR="114300" simplePos="0" relativeHeight="251666432" behindDoc="1" locked="1" layoutInCell="1" allowOverlap="0" wp14:anchorId="0D2AE7DC" wp14:editId="6070BB4B">
          <wp:simplePos x="0" y="0"/>
          <wp:positionH relativeFrom="page">
            <wp:posOffset>20955</wp:posOffset>
          </wp:positionH>
          <wp:positionV relativeFrom="page">
            <wp:posOffset>57150</wp:posOffset>
          </wp:positionV>
          <wp:extent cx="7729855" cy="10003155"/>
          <wp:effectExtent l="0" t="0" r="4445" b="0"/>
          <wp:wrapNone/>
          <wp:docPr id="1" name="Picture 1">
            <a:extLst xmlns:a="http://schemas.openxmlformats.org/drawingml/2006/main">
              <a:ext uri="{C183D7F6-B498-43B3-948B-1728B52AA6E4}">
                <adec:decorative xmlns:adec="http://schemas.microsoft.com/office/drawing/2017/decorative"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val="0"/>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729855" cy="10003155"/>
                  </a:xfrm>
                  <a:prstGeom prst="rect">
                    <a:avLst/>
                  </a:prstGeom>
                </pic:spPr>
              </pic:pic>
            </a:graphicData>
          </a:graphic>
          <wp14:sizeRelH relativeFrom="margin">
            <wp14:pctWidth>0</wp14:pctWidth>
          </wp14:sizeRelH>
          <wp14:sizeRelV relativeFrom="margin">
            <wp14:pctHeight>0</wp14:pctHeight>
          </wp14:sizeRelV>
        </wp:anchor>
      </w:drawing>
    </w:r>
    <w:r w:rsidR="00F16457">
      <w:rPr>
        <w:b/>
      </w:rPr>
      <w:t>Don McGugan, MBA, CFP</w:t>
    </w:r>
  </w:p>
  <w:p w14:paraId="1CBB18D0" w14:textId="048D12D4" w:rsidR="009E2F9E" w:rsidRDefault="00F16457" w:rsidP="009E2F9E">
    <w:pPr>
      <w:pStyle w:val="HeaderwithSpaceBefore"/>
    </w:pPr>
    <w:r>
      <w:t>BMO Nesbitt Burns</w:t>
    </w:r>
  </w:p>
  <w:p w14:paraId="50B3A9C5" w14:textId="77777777" w:rsidR="009E2F9E" w:rsidRPr="00E501A8" w:rsidRDefault="009E2F9E" w:rsidP="009E2F9E">
    <w:pPr>
      <w:pStyle w:val="Header"/>
    </w:pPr>
  </w:p>
  <w:p w14:paraId="1784CBFA" w14:textId="7605137B" w:rsidR="009E2F9E" w:rsidRPr="00F16457" w:rsidRDefault="00F16457" w:rsidP="009E2F9E">
    <w:pPr>
      <w:pStyle w:val="Header"/>
      <w:rPr>
        <w:rFonts w:eastAsia="MS Mincho"/>
        <w:bCs/>
        <w:szCs w:val="16"/>
        <w:lang w:val="fr-CA"/>
      </w:rPr>
    </w:pPr>
    <w:r w:rsidRPr="00F16457">
      <w:rPr>
        <w:rFonts w:eastAsia="MS Mincho"/>
        <w:bCs/>
        <w:szCs w:val="16"/>
        <w:lang w:val="fr-CA"/>
      </w:rPr>
      <w:t>100 Ouellette Avenue</w:t>
    </w:r>
  </w:p>
  <w:p w14:paraId="5C91EE64" w14:textId="1427C07F" w:rsidR="009E2F9E" w:rsidRPr="00F16457" w:rsidRDefault="00F16457" w:rsidP="009E2F9E">
    <w:pPr>
      <w:pStyle w:val="Header"/>
      <w:rPr>
        <w:rFonts w:eastAsia="MS Mincho"/>
        <w:bCs/>
        <w:szCs w:val="16"/>
        <w:lang w:val="fr-CA"/>
      </w:rPr>
    </w:pPr>
    <w:r w:rsidRPr="00F16457">
      <w:rPr>
        <w:rFonts w:eastAsia="MS Mincho"/>
        <w:bCs/>
        <w:szCs w:val="16"/>
        <w:lang w:val="fr-CA"/>
      </w:rPr>
      <w:t>Suite 100</w:t>
    </w:r>
  </w:p>
  <w:p w14:paraId="038B8D0C" w14:textId="38CF49C7" w:rsidR="009E2F9E" w:rsidRPr="00F16457" w:rsidRDefault="00F16457" w:rsidP="009E2F9E">
    <w:pPr>
      <w:pStyle w:val="Header"/>
      <w:rPr>
        <w:lang w:val="fr-CA"/>
      </w:rPr>
    </w:pPr>
    <w:r w:rsidRPr="00F16457">
      <w:rPr>
        <w:lang w:val="fr-CA"/>
      </w:rPr>
      <w:t>Windsor, Ontario, N9A 6T3</w:t>
    </w:r>
  </w:p>
  <w:p w14:paraId="4671AA66" w14:textId="11A2DA55" w:rsidR="009E2F9E" w:rsidRPr="00F16457" w:rsidRDefault="009E2F9E" w:rsidP="009E2F9E">
    <w:pPr>
      <w:pStyle w:val="Header"/>
      <w:rPr>
        <w:lang w:val="fr-CA"/>
      </w:rPr>
    </w:pPr>
  </w:p>
  <w:p w14:paraId="74CA0317" w14:textId="28A3EE67" w:rsidR="009E2F9E" w:rsidRPr="00C1719A" w:rsidRDefault="00F16457" w:rsidP="009E2F9E">
    <w:pPr>
      <w:pStyle w:val="Header"/>
    </w:pPr>
    <w:r>
      <w:rPr>
        <w:rFonts w:eastAsia="MS Mincho"/>
        <w:bCs/>
        <w:szCs w:val="16"/>
      </w:rPr>
      <w:t>Don.mcgugan@nbpcd.com</w:t>
    </w:r>
  </w:p>
  <w:p w14:paraId="2F9EA919" w14:textId="77777777" w:rsidR="009E2F9E" w:rsidRPr="00C1719A" w:rsidRDefault="009E2F9E" w:rsidP="009E2F9E">
    <w:pPr>
      <w:pStyle w:val="Header"/>
      <w:rPr>
        <w:rFonts w:eastAsia="MS Mincho"/>
        <w:bCs/>
        <w:szCs w:val="16"/>
      </w:rPr>
    </w:pPr>
  </w:p>
  <w:p w14:paraId="7CF21724" w14:textId="1BAEB2D8" w:rsidR="00E501A8" w:rsidRDefault="00E501A8" w:rsidP="00283A43">
    <w:pPr>
      <w:pStyle w:val="Header"/>
      <w:rPr>
        <w:rFonts w:eastAsia="MS Mincho"/>
        <w:bCs/>
        <w:szCs w:val="16"/>
      </w:rPr>
    </w:pPr>
  </w:p>
  <w:p w14:paraId="6E6EBF61" w14:textId="77777777" w:rsidR="00D25EFA" w:rsidRPr="00C1719A" w:rsidRDefault="00D25EFA" w:rsidP="00F53234">
    <w:pPr>
      <w:pStyle w:val="Header"/>
      <w:ind w:left="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E6162D"/>
    <w:multiLevelType w:val="hybridMultilevel"/>
    <w:tmpl w:val="CF8E1A3E"/>
    <w:lvl w:ilvl="0" w:tplc="10090011">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721" w:allStyles="1" w:customStyles="0" w:latentStyles="0" w:stylesInUse="0" w:headingStyles="1" w:numberingStyles="0" w:tableStyles="0" w:directFormattingOnRuns="1" w:directFormattingOnParagraphs="1" w:directFormattingOnNumbering="1" w:directFormattingOnTables="0" w:clearFormatting="1" w:top3HeadingStyles="0"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716"/>
    <w:rsid w:val="00051F49"/>
    <w:rsid w:val="000613F2"/>
    <w:rsid w:val="0006731A"/>
    <w:rsid w:val="000D7605"/>
    <w:rsid w:val="000E21CE"/>
    <w:rsid w:val="000F5CA2"/>
    <w:rsid w:val="001B2C49"/>
    <w:rsid w:val="001D23FD"/>
    <w:rsid w:val="001E4641"/>
    <w:rsid w:val="001F199F"/>
    <w:rsid w:val="00225195"/>
    <w:rsid w:val="00233803"/>
    <w:rsid w:val="00283A43"/>
    <w:rsid w:val="00291DD2"/>
    <w:rsid w:val="002B651D"/>
    <w:rsid w:val="002C384F"/>
    <w:rsid w:val="003753AF"/>
    <w:rsid w:val="00385AAE"/>
    <w:rsid w:val="003D24FD"/>
    <w:rsid w:val="00404B0B"/>
    <w:rsid w:val="00432465"/>
    <w:rsid w:val="0043580D"/>
    <w:rsid w:val="00454CB0"/>
    <w:rsid w:val="0048547B"/>
    <w:rsid w:val="004A12EB"/>
    <w:rsid w:val="004A7A7F"/>
    <w:rsid w:val="005368E6"/>
    <w:rsid w:val="00580423"/>
    <w:rsid w:val="00581E2F"/>
    <w:rsid w:val="005C529B"/>
    <w:rsid w:val="005F6716"/>
    <w:rsid w:val="0065210D"/>
    <w:rsid w:val="00661BB8"/>
    <w:rsid w:val="006701B6"/>
    <w:rsid w:val="006865CC"/>
    <w:rsid w:val="006A106C"/>
    <w:rsid w:val="006C0AA0"/>
    <w:rsid w:val="007A51CE"/>
    <w:rsid w:val="007A66D3"/>
    <w:rsid w:val="007B06A0"/>
    <w:rsid w:val="007C6E8E"/>
    <w:rsid w:val="007E06EF"/>
    <w:rsid w:val="007F1C88"/>
    <w:rsid w:val="008C2C3D"/>
    <w:rsid w:val="008C7F20"/>
    <w:rsid w:val="00957A09"/>
    <w:rsid w:val="00965DC0"/>
    <w:rsid w:val="009E2F9E"/>
    <w:rsid w:val="00AE0E09"/>
    <w:rsid w:val="00AE5DFD"/>
    <w:rsid w:val="00AE6B77"/>
    <w:rsid w:val="00B0055E"/>
    <w:rsid w:val="00B12328"/>
    <w:rsid w:val="00B15E63"/>
    <w:rsid w:val="00C147AF"/>
    <w:rsid w:val="00C1719A"/>
    <w:rsid w:val="00C2292F"/>
    <w:rsid w:val="00C255A2"/>
    <w:rsid w:val="00D25EFA"/>
    <w:rsid w:val="00D44B0E"/>
    <w:rsid w:val="00D477D7"/>
    <w:rsid w:val="00DC06C1"/>
    <w:rsid w:val="00E14AB8"/>
    <w:rsid w:val="00E239B8"/>
    <w:rsid w:val="00E501A8"/>
    <w:rsid w:val="00E77AC7"/>
    <w:rsid w:val="00EA25DB"/>
    <w:rsid w:val="00EA53E6"/>
    <w:rsid w:val="00EC216C"/>
    <w:rsid w:val="00EE752B"/>
    <w:rsid w:val="00F10944"/>
    <w:rsid w:val="00F16457"/>
    <w:rsid w:val="00F34DC9"/>
    <w:rsid w:val="00F42DDC"/>
    <w:rsid w:val="00F53234"/>
    <w:rsid w:val="00F660CD"/>
    <w:rsid w:val="00F8290E"/>
    <w:rsid w:val="00FC0C8E"/>
    <w:rsid w:val="71798DA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9DEF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19A"/>
    <w:pPr>
      <w:tabs>
        <w:tab w:val="center" w:pos="4680"/>
        <w:tab w:val="right" w:pos="9360"/>
      </w:tabs>
      <w:spacing w:after="0" w:line="280" w:lineRule="exact"/>
    </w:pPr>
    <w:rPr>
      <w:rFonts w:ascii="Dax Offc Pro" w:hAnsi="Dax Offc Pro"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tact">
    <w:name w:val="Contact"/>
    <w:basedOn w:val="Normal"/>
    <w:qFormat/>
    <w:rsid w:val="00233803"/>
    <w:pPr>
      <w:spacing w:before="140"/>
    </w:pPr>
  </w:style>
  <w:style w:type="paragraph" w:styleId="Header">
    <w:name w:val="header"/>
    <w:basedOn w:val="Normal"/>
    <w:link w:val="HeaderChar"/>
    <w:uiPriority w:val="99"/>
    <w:unhideWhenUsed/>
    <w:qFormat/>
    <w:rsid w:val="0043580D"/>
    <w:pPr>
      <w:spacing w:line="180" w:lineRule="exact"/>
      <w:ind w:left="6480"/>
    </w:pPr>
    <w:rPr>
      <w:sz w:val="16"/>
    </w:rPr>
  </w:style>
  <w:style w:type="character" w:customStyle="1" w:styleId="HeaderChar">
    <w:name w:val="Header Char"/>
    <w:basedOn w:val="DefaultParagraphFont"/>
    <w:link w:val="Header"/>
    <w:uiPriority w:val="99"/>
    <w:rsid w:val="0043580D"/>
    <w:rPr>
      <w:rFonts w:ascii="Arial" w:hAnsi="Arial" w:cs="Arial"/>
      <w:sz w:val="16"/>
    </w:rPr>
  </w:style>
  <w:style w:type="paragraph" w:styleId="Footer">
    <w:name w:val="footer"/>
    <w:basedOn w:val="Normal"/>
    <w:link w:val="FooterChar"/>
    <w:uiPriority w:val="99"/>
    <w:unhideWhenUsed/>
    <w:rsid w:val="001D23FD"/>
    <w:pPr>
      <w:spacing w:line="160" w:lineRule="exact"/>
    </w:pPr>
    <w:rPr>
      <w:sz w:val="14"/>
      <w:szCs w:val="14"/>
    </w:rPr>
  </w:style>
  <w:style w:type="character" w:customStyle="1" w:styleId="FooterChar">
    <w:name w:val="Footer Char"/>
    <w:basedOn w:val="DefaultParagraphFont"/>
    <w:link w:val="Footer"/>
    <w:uiPriority w:val="99"/>
    <w:rsid w:val="001D23FD"/>
    <w:rPr>
      <w:rFonts w:ascii="Dax Offc Pro" w:hAnsi="Dax Offc Pro" w:cs="Arial"/>
      <w:sz w:val="14"/>
      <w:szCs w:val="14"/>
    </w:rPr>
  </w:style>
  <w:style w:type="paragraph" w:customStyle="1" w:styleId="BasicParagraph">
    <w:name w:val="[Basic Paragraph]"/>
    <w:basedOn w:val="Normal"/>
    <w:uiPriority w:val="99"/>
    <w:rsid w:val="00225195"/>
    <w:rPr>
      <w:lang w:val="en-US"/>
    </w:rPr>
  </w:style>
  <w:style w:type="character" w:styleId="Strong">
    <w:name w:val="Strong"/>
    <w:basedOn w:val="DefaultParagraphFont"/>
    <w:uiPriority w:val="22"/>
    <w:qFormat/>
    <w:rsid w:val="006A106C"/>
    <w:rPr>
      <w:b/>
      <w:bCs/>
    </w:rPr>
  </w:style>
  <w:style w:type="paragraph" w:customStyle="1" w:styleId="HeaderwithSpaceBefore">
    <w:name w:val="Header with Space Before"/>
    <w:basedOn w:val="Header"/>
    <w:next w:val="Header"/>
    <w:qFormat/>
    <w:rsid w:val="006A106C"/>
    <w:pPr>
      <w:spacing w:before="90"/>
    </w:pPr>
  </w:style>
  <w:style w:type="paragraph" w:customStyle="1" w:styleId="HeaderLegalEntity">
    <w:name w:val="Header Legal Entity"/>
    <w:basedOn w:val="Header"/>
    <w:next w:val="Header"/>
    <w:link w:val="HeaderLegalEntityChar"/>
    <w:qFormat/>
    <w:rsid w:val="006A106C"/>
    <w:pPr>
      <w:spacing w:before="90"/>
    </w:pPr>
    <w:rPr>
      <w:b/>
    </w:rPr>
  </w:style>
  <w:style w:type="character" w:styleId="PlaceholderText">
    <w:name w:val="Placeholder Text"/>
    <w:basedOn w:val="DefaultParagraphFont"/>
    <w:uiPriority w:val="99"/>
    <w:semiHidden/>
    <w:rsid w:val="00B0055E"/>
    <w:rPr>
      <w:color w:val="808080"/>
    </w:rPr>
  </w:style>
  <w:style w:type="paragraph" w:styleId="NoSpacing">
    <w:name w:val="No Spacing"/>
    <w:basedOn w:val="Normal"/>
    <w:uiPriority w:val="1"/>
    <w:qFormat/>
    <w:rsid w:val="00E239B8"/>
    <w:pPr>
      <w:tabs>
        <w:tab w:val="clear" w:pos="4680"/>
        <w:tab w:val="clear" w:pos="9360"/>
        <w:tab w:val="left" w:pos="360"/>
        <w:tab w:val="left" w:pos="720"/>
        <w:tab w:val="left" w:pos="1080"/>
        <w:tab w:val="left" w:pos="1440"/>
      </w:tabs>
      <w:adjustRightInd w:val="0"/>
      <w:snapToGrid w:val="0"/>
      <w:spacing w:line="260" w:lineRule="exact"/>
    </w:pPr>
    <w:rPr>
      <w:rFonts w:cs="Times New Roman (Body CS)"/>
      <w:color w:val="000000" w:themeColor="text1"/>
      <w:kern w:val="10"/>
      <w:sz w:val="18"/>
      <w:szCs w:val="24"/>
      <w:lang w:val="en-US"/>
    </w:rPr>
  </w:style>
  <w:style w:type="paragraph" w:customStyle="1" w:styleId="DropDownStyle">
    <w:name w:val="Drop Down Style"/>
    <w:basedOn w:val="HeaderLegalEntity"/>
    <w:link w:val="DropDownStyleChar"/>
    <w:rsid w:val="008C7F20"/>
    <w:rPr>
      <w:b w:val="0"/>
    </w:rPr>
  </w:style>
  <w:style w:type="character" w:customStyle="1" w:styleId="HeaderLegalEntityChar">
    <w:name w:val="Header Legal Entity Char"/>
    <w:basedOn w:val="HeaderChar"/>
    <w:link w:val="HeaderLegalEntity"/>
    <w:rsid w:val="008C7F20"/>
    <w:rPr>
      <w:rFonts w:ascii="Arial" w:hAnsi="Arial" w:cs="Arial"/>
      <w:b/>
      <w:sz w:val="16"/>
    </w:rPr>
  </w:style>
  <w:style w:type="character" w:customStyle="1" w:styleId="DropDownStyleChar">
    <w:name w:val="Drop Down Style Char"/>
    <w:basedOn w:val="HeaderLegalEntityChar"/>
    <w:link w:val="DropDownStyle"/>
    <w:rsid w:val="008C7F20"/>
    <w:rPr>
      <w:rFonts w:ascii="Arial" w:hAnsi="Arial" w:cs="Arial"/>
      <w:b w:val="0"/>
      <w:sz w:val="16"/>
    </w:rPr>
  </w:style>
  <w:style w:type="paragraph" w:styleId="BalloonText">
    <w:name w:val="Balloon Text"/>
    <w:basedOn w:val="Normal"/>
    <w:link w:val="BalloonTextChar"/>
    <w:uiPriority w:val="99"/>
    <w:semiHidden/>
    <w:unhideWhenUsed/>
    <w:rsid w:val="00EA53E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53E6"/>
    <w:rPr>
      <w:rFonts w:ascii="Tahoma" w:hAnsi="Tahoma" w:cs="Tahoma"/>
      <w:sz w:val="16"/>
      <w:szCs w:val="1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FootnoteText">
    <w:name w:val="footnote text"/>
    <w:basedOn w:val="Normal"/>
    <w:link w:val="FootnoteTextChar"/>
    <w:uiPriority w:val="99"/>
    <w:semiHidden/>
    <w:unhideWhenUsed/>
    <w:rsid w:val="00661BB8"/>
    <w:pPr>
      <w:tabs>
        <w:tab w:val="clear" w:pos="4680"/>
        <w:tab w:val="clear" w:pos="9360"/>
      </w:tabs>
      <w:spacing w:line="240" w:lineRule="auto"/>
    </w:pPr>
    <w:rPr>
      <w:rFonts w:ascii="Calibri" w:hAnsi="Calibri" w:cs="Times New Roman"/>
      <w:sz w:val="20"/>
      <w:szCs w:val="20"/>
    </w:rPr>
  </w:style>
  <w:style w:type="character" w:customStyle="1" w:styleId="FootnoteTextChar">
    <w:name w:val="Footnote Text Char"/>
    <w:basedOn w:val="DefaultParagraphFont"/>
    <w:link w:val="FootnoteText"/>
    <w:uiPriority w:val="99"/>
    <w:semiHidden/>
    <w:rsid w:val="00661BB8"/>
    <w:rPr>
      <w:rFonts w:ascii="Calibri" w:hAnsi="Calibri" w:cs="Times New Roman"/>
      <w:sz w:val="20"/>
      <w:szCs w:val="20"/>
    </w:rPr>
  </w:style>
  <w:style w:type="character" w:styleId="FootnoteReference">
    <w:name w:val="footnote reference"/>
    <w:basedOn w:val="DefaultParagraphFont"/>
    <w:uiPriority w:val="99"/>
    <w:semiHidden/>
    <w:unhideWhenUsed/>
    <w:rsid w:val="00661BB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19A"/>
    <w:pPr>
      <w:tabs>
        <w:tab w:val="center" w:pos="4680"/>
        <w:tab w:val="right" w:pos="9360"/>
      </w:tabs>
      <w:spacing w:after="0" w:line="280" w:lineRule="exact"/>
    </w:pPr>
    <w:rPr>
      <w:rFonts w:ascii="Dax Offc Pro" w:hAnsi="Dax Offc Pro"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tact">
    <w:name w:val="Contact"/>
    <w:basedOn w:val="Normal"/>
    <w:qFormat/>
    <w:rsid w:val="00233803"/>
    <w:pPr>
      <w:spacing w:before="140"/>
    </w:pPr>
  </w:style>
  <w:style w:type="paragraph" w:styleId="Header">
    <w:name w:val="header"/>
    <w:basedOn w:val="Normal"/>
    <w:link w:val="HeaderChar"/>
    <w:uiPriority w:val="99"/>
    <w:unhideWhenUsed/>
    <w:qFormat/>
    <w:rsid w:val="0043580D"/>
    <w:pPr>
      <w:spacing w:line="180" w:lineRule="exact"/>
      <w:ind w:left="6480"/>
    </w:pPr>
    <w:rPr>
      <w:sz w:val="16"/>
    </w:rPr>
  </w:style>
  <w:style w:type="character" w:customStyle="1" w:styleId="HeaderChar">
    <w:name w:val="Header Char"/>
    <w:basedOn w:val="DefaultParagraphFont"/>
    <w:link w:val="Header"/>
    <w:uiPriority w:val="99"/>
    <w:rsid w:val="0043580D"/>
    <w:rPr>
      <w:rFonts w:ascii="Arial" w:hAnsi="Arial" w:cs="Arial"/>
      <w:sz w:val="16"/>
    </w:rPr>
  </w:style>
  <w:style w:type="paragraph" w:styleId="Footer">
    <w:name w:val="footer"/>
    <w:basedOn w:val="Normal"/>
    <w:link w:val="FooterChar"/>
    <w:uiPriority w:val="99"/>
    <w:unhideWhenUsed/>
    <w:rsid w:val="001D23FD"/>
    <w:pPr>
      <w:spacing w:line="160" w:lineRule="exact"/>
    </w:pPr>
    <w:rPr>
      <w:sz w:val="14"/>
      <w:szCs w:val="14"/>
    </w:rPr>
  </w:style>
  <w:style w:type="character" w:customStyle="1" w:styleId="FooterChar">
    <w:name w:val="Footer Char"/>
    <w:basedOn w:val="DefaultParagraphFont"/>
    <w:link w:val="Footer"/>
    <w:uiPriority w:val="99"/>
    <w:rsid w:val="001D23FD"/>
    <w:rPr>
      <w:rFonts w:ascii="Dax Offc Pro" w:hAnsi="Dax Offc Pro" w:cs="Arial"/>
      <w:sz w:val="14"/>
      <w:szCs w:val="14"/>
    </w:rPr>
  </w:style>
  <w:style w:type="paragraph" w:customStyle="1" w:styleId="BasicParagraph">
    <w:name w:val="[Basic Paragraph]"/>
    <w:basedOn w:val="Normal"/>
    <w:uiPriority w:val="99"/>
    <w:rsid w:val="00225195"/>
    <w:rPr>
      <w:lang w:val="en-US"/>
    </w:rPr>
  </w:style>
  <w:style w:type="character" w:styleId="Strong">
    <w:name w:val="Strong"/>
    <w:basedOn w:val="DefaultParagraphFont"/>
    <w:uiPriority w:val="22"/>
    <w:qFormat/>
    <w:rsid w:val="006A106C"/>
    <w:rPr>
      <w:b/>
      <w:bCs/>
    </w:rPr>
  </w:style>
  <w:style w:type="paragraph" w:customStyle="1" w:styleId="HeaderwithSpaceBefore">
    <w:name w:val="Header with Space Before"/>
    <w:basedOn w:val="Header"/>
    <w:next w:val="Header"/>
    <w:qFormat/>
    <w:rsid w:val="006A106C"/>
    <w:pPr>
      <w:spacing w:before="90"/>
    </w:pPr>
  </w:style>
  <w:style w:type="paragraph" w:customStyle="1" w:styleId="HeaderLegalEntity">
    <w:name w:val="Header Legal Entity"/>
    <w:basedOn w:val="Header"/>
    <w:next w:val="Header"/>
    <w:link w:val="HeaderLegalEntityChar"/>
    <w:qFormat/>
    <w:rsid w:val="006A106C"/>
    <w:pPr>
      <w:spacing w:before="90"/>
    </w:pPr>
    <w:rPr>
      <w:b/>
    </w:rPr>
  </w:style>
  <w:style w:type="character" w:styleId="PlaceholderText">
    <w:name w:val="Placeholder Text"/>
    <w:basedOn w:val="DefaultParagraphFont"/>
    <w:uiPriority w:val="99"/>
    <w:semiHidden/>
    <w:rsid w:val="00B0055E"/>
    <w:rPr>
      <w:color w:val="808080"/>
    </w:rPr>
  </w:style>
  <w:style w:type="paragraph" w:styleId="NoSpacing">
    <w:name w:val="No Spacing"/>
    <w:basedOn w:val="Normal"/>
    <w:uiPriority w:val="1"/>
    <w:qFormat/>
    <w:rsid w:val="00E239B8"/>
    <w:pPr>
      <w:tabs>
        <w:tab w:val="clear" w:pos="4680"/>
        <w:tab w:val="clear" w:pos="9360"/>
        <w:tab w:val="left" w:pos="360"/>
        <w:tab w:val="left" w:pos="720"/>
        <w:tab w:val="left" w:pos="1080"/>
        <w:tab w:val="left" w:pos="1440"/>
      </w:tabs>
      <w:adjustRightInd w:val="0"/>
      <w:snapToGrid w:val="0"/>
      <w:spacing w:line="260" w:lineRule="exact"/>
    </w:pPr>
    <w:rPr>
      <w:rFonts w:cs="Times New Roman (Body CS)"/>
      <w:color w:val="000000" w:themeColor="text1"/>
      <w:kern w:val="10"/>
      <w:sz w:val="18"/>
      <w:szCs w:val="24"/>
      <w:lang w:val="en-US"/>
    </w:rPr>
  </w:style>
  <w:style w:type="paragraph" w:customStyle="1" w:styleId="DropDownStyle">
    <w:name w:val="Drop Down Style"/>
    <w:basedOn w:val="HeaderLegalEntity"/>
    <w:link w:val="DropDownStyleChar"/>
    <w:rsid w:val="008C7F20"/>
    <w:rPr>
      <w:b w:val="0"/>
    </w:rPr>
  </w:style>
  <w:style w:type="character" w:customStyle="1" w:styleId="HeaderLegalEntityChar">
    <w:name w:val="Header Legal Entity Char"/>
    <w:basedOn w:val="HeaderChar"/>
    <w:link w:val="HeaderLegalEntity"/>
    <w:rsid w:val="008C7F20"/>
    <w:rPr>
      <w:rFonts w:ascii="Arial" w:hAnsi="Arial" w:cs="Arial"/>
      <w:b/>
      <w:sz w:val="16"/>
    </w:rPr>
  </w:style>
  <w:style w:type="character" w:customStyle="1" w:styleId="DropDownStyleChar">
    <w:name w:val="Drop Down Style Char"/>
    <w:basedOn w:val="HeaderLegalEntityChar"/>
    <w:link w:val="DropDownStyle"/>
    <w:rsid w:val="008C7F20"/>
    <w:rPr>
      <w:rFonts w:ascii="Arial" w:hAnsi="Arial" w:cs="Arial"/>
      <w:b w:val="0"/>
      <w:sz w:val="16"/>
    </w:rPr>
  </w:style>
  <w:style w:type="paragraph" w:styleId="BalloonText">
    <w:name w:val="Balloon Text"/>
    <w:basedOn w:val="Normal"/>
    <w:link w:val="BalloonTextChar"/>
    <w:uiPriority w:val="99"/>
    <w:semiHidden/>
    <w:unhideWhenUsed/>
    <w:rsid w:val="00EA53E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53E6"/>
    <w:rPr>
      <w:rFonts w:ascii="Tahoma" w:hAnsi="Tahoma" w:cs="Tahoma"/>
      <w:sz w:val="16"/>
      <w:szCs w:val="1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FootnoteText">
    <w:name w:val="footnote text"/>
    <w:basedOn w:val="Normal"/>
    <w:link w:val="FootnoteTextChar"/>
    <w:uiPriority w:val="99"/>
    <w:semiHidden/>
    <w:unhideWhenUsed/>
    <w:rsid w:val="00661BB8"/>
    <w:pPr>
      <w:tabs>
        <w:tab w:val="clear" w:pos="4680"/>
        <w:tab w:val="clear" w:pos="9360"/>
      </w:tabs>
      <w:spacing w:line="240" w:lineRule="auto"/>
    </w:pPr>
    <w:rPr>
      <w:rFonts w:ascii="Calibri" w:hAnsi="Calibri" w:cs="Times New Roman"/>
      <w:sz w:val="20"/>
      <w:szCs w:val="20"/>
    </w:rPr>
  </w:style>
  <w:style w:type="character" w:customStyle="1" w:styleId="FootnoteTextChar">
    <w:name w:val="Footnote Text Char"/>
    <w:basedOn w:val="DefaultParagraphFont"/>
    <w:link w:val="FootnoteText"/>
    <w:uiPriority w:val="99"/>
    <w:semiHidden/>
    <w:rsid w:val="00661BB8"/>
    <w:rPr>
      <w:rFonts w:ascii="Calibri" w:hAnsi="Calibri" w:cs="Times New Roman"/>
      <w:sz w:val="20"/>
      <w:szCs w:val="20"/>
    </w:rPr>
  </w:style>
  <w:style w:type="character" w:styleId="FootnoteReference">
    <w:name w:val="footnote reference"/>
    <w:basedOn w:val="DefaultParagraphFont"/>
    <w:uiPriority w:val="99"/>
    <w:semiHidden/>
    <w:unhideWhenUsed/>
    <w:rsid w:val="00661B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4C1B32E6A2B248B4D4DCCD05CCDE70" ma:contentTypeVersion="0" ma:contentTypeDescription="Create a new document." ma:contentTypeScope="" ma:versionID="821f4186fa9d77e2d73b46d4ae40f51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111FB6-21CA-4149-A319-A69493CCCD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6F386F8-7068-474B-872D-44DF37C59180}">
  <ds:schemaRefs>
    <ds:schemaRef ds:uri="http://schemas.microsoft.com/sharepoint/v3/contenttype/forms"/>
  </ds:schemaRefs>
</ds:datastoreItem>
</file>

<file path=customXml/itemProps3.xml><?xml version="1.0" encoding="utf-8"?>
<ds:datastoreItem xmlns:ds="http://schemas.openxmlformats.org/officeDocument/2006/customXml" ds:itemID="{CB5BEE5E-E254-4DED-8425-5A05978FF980}">
  <ds:schemaRefs>
    <ds:schemaRef ds:uri="http://www.w3.org/XML/1998/namespace"/>
    <ds:schemaRef ds:uri="http://schemas.openxmlformats.org/package/2006/metadata/core-properties"/>
    <ds:schemaRef ds:uri="http://schemas.microsoft.com/office/2006/metadata/properties"/>
    <ds:schemaRef ds:uri="http://purl.org/dc/elements/1.1/"/>
    <ds:schemaRef ds:uri="http://schemas.microsoft.com/office/2006/documentManagement/types"/>
    <ds:schemaRef ds:uri="http://purl.org/dc/term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25719781-E61D-4EA9-9160-D4472EACB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611</Words>
  <Characters>3488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BMO Financial Group</Company>
  <LinksUpToDate>false</LinksUpToDate>
  <CharactersWithSpaces>4091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McGugan, Don</cp:lastModifiedBy>
  <cp:revision>2</cp:revision>
  <dcterms:created xsi:type="dcterms:W3CDTF">2021-03-31T23:51:00Z</dcterms:created>
  <dcterms:modified xsi:type="dcterms:W3CDTF">2021-03-31T23:51:00Z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0x010100114C1B32E6A2B248B4D4DCCD05CCDE70</vt:lpwstr>
  </property>
</Properties>
</file>