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C1BDBE" w14:textId="09D3BC77" w:rsidR="003C21FB" w:rsidRPr="002E744E" w:rsidRDefault="00C616EA">
      <w:pPr>
        <w:rPr>
          <w:rFonts w:cstheme="minorHAnsi"/>
        </w:rPr>
      </w:pPr>
      <w:r w:rsidRPr="002E744E">
        <w:rPr>
          <w:rFonts w:cstheme="minorHAnsi"/>
        </w:rPr>
        <w:t>First Homeowner Savings Account</w:t>
      </w:r>
    </w:p>
    <w:p w14:paraId="1AF1CBCB" w14:textId="31552798" w:rsidR="00C616EA" w:rsidRPr="002E744E" w:rsidRDefault="00C616EA">
      <w:pPr>
        <w:rPr>
          <w:rFonts w:cstheme="minorHAnsi"/>
        </w:rPr>
      </w:pPr>
      <w:r w:rsidRPr="002E744E">
        <w:rPr>
          <w:rFonts w:cstheme="minorHAnsi"/>
        </w:rPr>
        <w:t>Some of you may have heard of this new account.  Although it may not be useful to you, I will go over the details of this account</w:t>
      </w:r>
    </w:p>
    <w:p w14:paraId="2ADCD0A2" w14:textId="0E4DF011" w:rsidR="00C616EA" w:rsidRPr="002E744E" w:rsidRDefault="00C616EA">
      <w:pPr>
        <w:rPr>
          <w:rFonts w:cstheme="minorHAnsi"/>
          <w:b/>
          <w:bCs/>
        </w:rPr>
      </w:pPr>
      <w:r w:rsidRPr="002E744E">
        <w:rPr>
          <w:rFonts w:cstheme="minorHAnsi"/>
          <w:b/>
          <w:bCs/>
        </w:rPr>
        <w:t>Who can open a First Homeowner Savings Account (FHSA)?</w:t>
      </w:r>
    </w:p>
    <w:p w14:paraId="5EFF739F" w14:textId="76D6B53F" w:rsidR="00C616EA" w:rsidRPr="002E744E" w:rsidRDefault="00C616EA" w:rsidP="00C616EA">
      <w:pPr>
        <w:pStyle w:val="ListParagraph"/>
        <w:numPr>
          <w:ilvl w:val="0"/>
          <w:numId w:val="1"/>
        </w:numPr>
        <w:rPr>
          <w:rFonts w:cstheme="minorHAnsi"/>
        </w:rPr>
      </w:pPr>
      <w:r w:rsidRPr="002E744E">
        <w:rPr>
          <w:rFonts w:eastAsia="Times New Roman" w:cstheme="minorHAnsi"/>
          <w:color w:val="45555F"/>
          <w:lang w:eastAsia="en-CA"/>
        </w:rPr>
        <w:t>an individual resident of Canada, at least 18 years of age, and not turning 72 or older in the year</w:t>
      </w:r>
      <w:r w:rsidRPr="002E744E">
        <w:rPr>
          <w:rFonts w:eastAsia="Times New Roman" w:cstheme="minorHAnsi"/>
          <w:color w:val="45555F"/>
          <w:lang w:eastAsia="en-CA"/>
        </w:rPr>
        <w:t>.</w:t>
      </w:r>
    </w:p>
    <w:p w14:paraId="25F4298D" w14:textId="3B34A0DA" w:rsidR="00C616EA" w:rsidRPr="002E744E" w:rsidRDefault="00C616EA" w:rsidP="00C616EA">
      <w:pPr>
        <w:pStyle w:val="ListParagraph"/>
        <w:numPr>
          <w:ilvl w:val="0"/>
          <w:numId w:val="1"/>
        </w:numPr>
        <w:rPr>
          <w:rFonts w:cstheme="minorHAnsi"/>
        </w:rPr>
      </w:pPr>
      <w:r w:rsidRPr="002E744E">
        <w:rPr>
          <w:rFonts w:eastAsia="Times New Roman" w:cstheme="minorHAnsi"/>
          <w:color w:val="45555F"/>
          <w:lang w:eastAsia="en-CA"/>
        </w:rPr>
        <w:t>must be a first-time home buyer, meaning you, or your spouse or common-law partner did not own a qualifying home that you lived in as your principal residence at any part of the calendar year before the account is opened or the preceding four calendar years</w:t>
      </w:r>
      <w:r w:rsidRPr="002E744E">
        <w:rPr>
          <w:rFonts w:eastAsia="Times New Roman" w:cstheme="minorHAnsi"/>
          <w:color w:val="45555F"/>
          <w:lang w:eastAsia="en-CA"/>
        </w:rPr>
        <w:t>.</w:t>
      </w:r>
      <w:r w:rsidR="002E744E" w:rsidRPr="002E744E">
        <w:rPr>
          <w:rStyle w:val="FootnoteReference"/>
          <w:rFonts w:eastAsia="Times New Roman" w:cstheme="minorHAnsi"/>
          <w:color w:val="45555F"/>
          <w:lang w:eastAsia="en-CA"/>
        </w:rPr>
        <w:footnoteReference w:id="1"/>
      </w:r>
    </w:p>
    <w:p w14:paraId="4C640D86" w14:textId="500020F3" w:rsidR="00C616EA" w:rsidRPr="002E744E" w:rsidRDefault="00C616EA" w:rsidP="00C616EA">
      <w:pPr>
        <w:rPr>
          <w:rFonts w:cstheme="minorHAnsi"/>
          <w:b/>
          <w:bCs/>
        </w:rPr>
      </w:pPr>
      <w:r w:rsidRPr="002E744E">
        <w:rPr>
          <w:rFonts w:cstheme="minorHAnsi"/>
          <w:b/>
          <w:bCs/>
        </w:rPr>
        <w:t xml:space="preserve">What are </w:t>
      </w:r>
      <w:r w:rsidR="002E744E" w:rsidRPr="002E744E">
        <w:rPr>
          <w:rFonts w:cstheme="minorHAnsi"/>
          <w:b/>
          <w:bCs/>
        </w:rPr>
        <w:t>contributions</w:t>
      </w:r>
      <w:r w:rsidRPr="002E744E">
        <w:rPr>
          <w:rFonts w:cstheme="minorHAnsi"/>
          <w:b/>
          <w:bCs/>
        </w:rPr>
        <w:t>?</w:t>
      </w:r>
    </w:p>
    <w:p w14:paraId="6B462A06" w14:textId="68C27840" w:rsidR="00C616EA" w:rsidRPr="002E744E" w:rsidRDefault="00C616EA" w:rsidP="00C616EA">
      <w:pPr>
        <w:pStyle w:val="NormalWeb"/>
        <w:numPr>
          <w:ilvl w:val="0"/>
          <w:numId w:val="1"/>
        </w:numPr>
        <w:shd w:val="clear" w:color="auto" w:fill="FFFFFF"/>
        <w:spacing w:before="0" w:beforeAutospacing="0" w:after="180" w:afterAutospacing="0" w:line="480" w:lineRule="atLeast"/>
        <w:rPr>
          <w:rFonts w:asciiTheme="minorHAnsi" w:hAnsiTheme="minorHAnsi" w:cstheme="minorHAnsi"/>
          <w:color w:val="45555F"/>
          <w:sz w:val="22"/>
          <w:szCs w:val="22"/>
        </w:rPr>
      </w:pPr>
      <w:r w:rsidRPr="002E744E">
        <w:rPr>
          <w:rFonts w:asciiTheme="minorHAnsi" w:hAnsiTheme="minorHAnsi" w:cstheme="minorHAnsi"/>
          <w:color w:val="45555F"/>
          <w:sz w:val="22"/>
          <w:szCs w:val="22"/>
        </w:rPr>
        <w:t>a lifetime contribution limit of $40,000, and an annual contribution limit of $8,000 in any year, including 2023.</w:t>
      </w:r>
    </w:p>
    <w:p w14:paraId="18298D57" w14:textId="7A1E3E2E" w:rsidR="00C616EA" w:rsidRPr="002E744E" w:rsidRDefault="00C616EA" w:rsidP="00C616EA">
      <w:pPr>
        <w:pStyle w:val="ListParagraph"/>
        <w:numPr>
          <w:ilvl w:val="1"/>
          <w:numId w:val="1"/>
        </w:numPr>
        <w:rPr>
          <w:rFonts w:cstheme="minorHAnsi"/>
        </w:rPr>
      </w:pPr>
      <w:r w:rsidRPr="002E744E">
        <w:rPr>
          <w:rFonts w:cstheme="minorHAnsi"/>
          <w:color w:val="45555F"/>
        </w:rPr>
        <w:t>You can carry forward up to $8,000 of your unused annual contribution amount to use in a later year</w:t>
      </w:r>
      <w:r w:rsidRPr="002E744E">
        <w:rPr>
          <w:rFonts w:cstheme="minorHAnsi"/>
          <w:color w:val="45555F"/>
        </w:rPr>
        <w:t>.</w:t>
      </w:r>
      <w:r w:rsidR="002E744E" w:rsidRPr="002E744E">
        <w:rPr>
          <w:rStyle w:val="FootnoteReference"/>
          <w:rFonts w:cstheme="minorHAnsi"/>
          <w:color w:val="45555F"/>
        </w:rPr>
        <w:footnoteReference w:id="2"/>
      </w:r>
    </w:p>
    <w:p w14:paraId="051564F6" w14:textId="3FA1B5E3" w:rsidR="00C616EA" w:rsidRPr="002E744E" w:rsidRDefault="00C616EA" w:rsidP="00C616EA">
      <w:pPr>
        <w:pStyle w:val="ListParagraph"/>
        <w:numPr>
          <w:ilvl w:val="0"/>
          <w:numId w:val="1"/>
        </w:numPr>
        <w:rPr>
          <w:rFonts w:cstheme="minorHAnsi"/>
        </w:rPr>
      </w:pPr>
      <w:r w:rsidRPr="002E744E">
        <w:rPr>
          <w:rFonts w:cstheme="minorHAnsi"/>
          <w:color w:val="45555F"/>
        </w:rPr>
        <w:t>Annual contribution limits apply to contributions made within the calendar year</w:t>
      </w:r>
      <w:r w:rsidRPr="002E744E">
        <w:rPr>
          <w:rFonts w:cstheme="minorHAnsi"/>
          <w:color w:val="45555F"/>
        </w:rPr>
        <w:t>.  You do not have the first 60 days of the next year like an RSP contribution.</w:t>
      </w:r>
    </w:p>
    <w:p w14:paraId="37F55B34" w14:textId="4CE04C5B" w:rsidR="00C616EA" w:rsidRPr="002E744E" w:rsidRDefault="008B047B" w:rsidP="00C616EA">
      <w:pPr>
        <w:pStyle w:val="ListParagraph"/>
        <w:numPr>
          <w:ilvl w:val="0"/>
          <w:numId w:val="1"/>
        </w:numPr>
        <w:rPr>
          <w:rFonts w:cstheme="minorHAnsi"/>
        </w:rPr>
      </w:pPr>
      <w:r w:rsidRPr="002E744E">
        <w:rPr>
          <w:rFonts w:cstheme="minorHAnsi"/>
          <w:color w:val="45555F"/>
        </w:rPr>
        <w:t>FHSA contributions can be claimed as a deduction against all sources of taxable income.</w:t>
      </w:r>
    </w:p>
    <w:p w14:paraId="53DE0AF6" w14:textId="5EF9995B" w:rsidR="008B047B" w:rsidRPr="002E744E" w:rsidRDefault="008B047B" w:rsidP="008B047B">
      <w:pPr>
        <w:rPr>
          <w:rFonts w:cstheme="minorHAnsi"/>
          <w:b/>
          <w:bCs/>
        </w:rPr>
      </w:pPr>
      <w:r w:rsidRPr="002E744E">
        <w:rPr>
          <w:rFonts w:cstheme="minorHAnsi"/>
          <w:b/>
          <w:bCs/>
        </w:rPr>
        <w:t>What can the account be invested in?</w:t>
      </w:r>
    </w:p>
    <w:p w14:paraId="287D1053" w14:textId="1F4348CB" w:rsidR="008B047B" w:rsidRPr="002E744E" w:rsidRDefault="008B047B" w:rsidP="008B047B">
      <w:pPr>
        <w:pStyle w:val="ListParagraph"/>
        <w:numPr>
          <w:ilvl w:val="0"/>
          <w:numId w:val="1"/>
        </w:numPr>
        <w:rPr>
          <w:rFonts w:cstheme="minorHAnsi"/>
        </w:rPr>
      </w:pPr>
      <w:r w:rsidRPr="002E744E">
        <w:rPr>
          <w:rFonts w:cstheme="minorHAnsi"/>
        </w:rPr>
        <w:t>Similar to those held by RRSPs and TFSA.</w:t>
      </w:r>
    </w:p>
    <w:p w14:paraId="734C6650" w14:textId="63882BB2" w:rsidR="008B047B" w:rsidRPr="002E744E" w:rsidRDefault="008B047B" w:rsidP="008B047B">
      <w:pPr>
        <w:rPr>
          <w:rFonts w:cstheme="minorHAnsi"/>
          <w:b/>
          <w:bCs/>
        </w:rPr>
      </w:pPr>
      <w:r w:rsidRPr="002E744E">
        <w:rPr>
          <w:rFonts w:cstheme="minorHAnsi"/>
          <w:b/>
          <w:bCs/>
        </w:rPr>
        <w:t>Withdrawals and transfers</w:t>
      </w:r>
    </w:p>
    <w:p w14:paraId="3FB19526" w14:textId="697A534C" w:rsidR="007D5B4D" w:rsidRPr="002E744E" w:rsidRDefault="007D5B4D" w:rsidP="007D5B4D">
      <w:pPr>
        <w:pStyle w:val="fd-section-break--top-10px"/>
        <w:numPr>
          <w:ilvl w:val="0"/>
          <w:numId w:val="1"/>
        </w:numPr>
        <w:shd w:val="clear" w:color="auto" w:fill="FFFFFF"/>
        <w:spacing w:before="150" w:beforeAutospacing="0" w:after="180" w:afterAutospacing="0" w:line="480" w:lineRule="atLeast"/>
        <w:rPr>
          <w:rFonts w:asciiTheme="minorHAnsi" w:hAnsiTheme="minorHAnsi" w:cstheme="minorHAnsi"/>
          <w:color w:val="45555F"/>
          <w:sz w:val="22"/>
          <w:szCs w:val="22"/>
        </w:rPr>
      </w:pPr>
      <w:r w:rsidRPr="002E744E">
        <w:rPr>
          <w:rFonts w:asciiTheme="minorHAnsi" w:hAnsiTheme="minorHAnsi" w:cstheme="minorHAnsi"/>
          <w:color w:val="45555F"/>
          <w:sz w:val="22"/>
          <w:szCs w:val="22"/>
        </w:rPr>
        <w:t xml:space="preserve"> </w:t>
      </w:r>
      <w:r w:rsidRPr="002E744E">
        <w:rPr>
          <w:rFonts w:asciiTheme="minorHAnsi" w:hAnsiTheme="minorHAnsi" w:cstheme="minorHAnsi"/>
          <w:color w:val="45555F"/>
          <w:sz w:val="22"/>
          <w:szCs w:val="22"/>
        </w:rPr>
        <w:t>Qualifying withdrawals to buy a home are tax-free. To qualify, a withdrawal needs to meet these conditions:</w:t>
      </w:r>
    </w:p>
    <w:p w14:paraId="1AB3986A" w14:textId="100D47A2" w:rsidR="007D5B4D" w:rsidRPr="002E744E" w:rsidRDefault="007D5B4D" w:rsidP="007D5B4D">
      <w:pPr>
        <w:pStyle w:val="ListParagraph"/>
        <w:numPr>
          <w:ilvl w:val="1"/>
          <w:numId w:val="1"/>
        </w:numPr>
        <w:shd w:val="clear" w:color="auto" w:fill="FFFFFF"/>
        <w:spacing w:after="96" w:line="384" w:lineRule="atLeast"/>
        <w:rPr>
          <w:rFonts w:cstheme="minorHAnsi"/>
          <w:color w:val="45555F"/>
        </w:rPr>
      </w:pPr>
      <w:r w:rsidRPr="002E744E">
        <w:rPr>
          <w:rFonts w:cstheme="minorHAnsi"/>
          <w:color w:val="45555F"/>
        </w:rPr>
        <w:t xml:space="preserve">You must be a resident in Canada from the time of the withdrawal to the acquisition of the qualifying home and a first-time home buyer when you make the withdrawal. There </w:t>
      </w:r>
      <w:r w:rsidRPr="002E744E">
        <w:rPr>
          <w:rFonts w:cstheme="minorHAnsi"/>
          <w:color w:val="45555F"/>
        </w:rPr>
        <w:lastRenderedPageBreak/>
        <w:t>is an exception to allow individuals to make qualifying withdrawals within 30 days of moving into a qualifying home.</w:t>
      </w:r>
    </w:p>
    <w:p w14:paraId="76EAEA87" w14:textId="7677CF7F" w:rsidR="007D5B4D" w:rsidRPr="002E744E" w:rsidRDefault="007D5B4D" w:rsidP="007D5B4D">
      <w:pPr>
        <w:pStyle w:val="ListParagraph"/>
        <w:numPr>
          <w:ilvl w:val="1"/>
          <w:numId w:val="1"/>
        </w:numPr>
        <w:shd w:val="clear" w:color="auto" w:fill="FFFFFF"/>
        <w:spacing w:after="96" w:line="384" w:lineRule="atLeast"/>
        <w:rPr>
          <w:rFonts w:cstheme="minorHAnsi"/>
          <w:color w:val="45555F"/>
        </w:rPr>
      </w:pPr>
      <w:r w:rsidRPr="002E744E">
        <w:rPr>
          <w:rFonts w:cstheme="minorHAnsi"/>
          <w:color w:val="45555F"/>
        </w:rPr>
        <w:t>You must have a written agreement to buy or build a qualifying home before October 1 of the year following the year of withdrawal and intend to occupy the home as a principal place of residence within one year after buying or building it.</w:t>
      </w:r>
    </w:p>
    <w:p w14:paraId="2D343CF2" w14:textId="415C3EE7" w:rsidR="007D5B4D" w:rsidRPr="002E744E" w:rsidRDefault="007D5B4D" w:rsidP="007D5B4D">
      <w:pPr>
        <w:pStyle w:val="ListParagraph"/>
        <w:numPr>
          <w:ilvl w:val="1"/>
          <w:numId w:val="1"/>
        </w:numPr>
        <w:shd w:val="clear" w:color="auto" w:fill="FFFFFF"/>
        <w:spacing w:after="96" w:line="384" w:lineRule="atLeast"/>
        <w:rPr>
          <w:rFonts w:cstheme="minorHAnsi"/>
          <w:color w:val="45555F"/>
        </w:rPr>
      </w:pPr>
      <w:r w:rsidRPr="002E744E">
        <w:rPr>
          <w:rFonts w:cstheme="minorHAnsi"/>
          <w:color w:val="45555F"/>
        </w:rPr>
        <w:t>The qualifying home must be a housing unit located in Canada.</w:t>
      </w:r>
      <w:r w:rsidR="002E744E" w:rsidRPr="002E744E">
        <w:rPr>
          <w:rStyle w:val="FootnoteReference"/>
          <w:rFonts w:cstheme="minorHAnsi"/>
          <w:color w:val="45555F"/>
        </w:rPr>
        <w:footnoteReference w:id="3"/>
      </w:r>
      <w:r w:rsidRPr="002E744E">
        <w:rPr>
          <w:rFonts w:cstheme="minorHAnsi"/>
          <w:color w:val="45555F"/>
        </w:rPr>
        <w:t> </w:t>
      </w:r>
    </w:p>
    <w:p w14:paraId="7A012FC4" w14:textId="4A7D961A" w:rsidR="008B047B" w:rsidRPr="002E744E" w:rsidRDefault="008B047B" w:rsidP="007D5B4D">
      <w:pPr>
        <w:ind w:left="360"/>
        <w:rPr>
          <w:rFonts w:cstheme="minorHAnsi"/>
        </w:rPr>
      </w:pPr>
    </w:p>
    <w:p w14:paraId="4EF4447A" w14:textId="1DDFAB19" w:rsidR="007D5B4D" w:rsidRPr="002E744E" w:rsidRDefault="007D5B4D" w:rsidP="007D5B4D">
      <w:pPr>
        <w:pStyle w:val="ListParagraph"/>
        <w:numPr>
          <w:ilvl w:val="0"/>
          <w:numId w:val="1"/>
        </w:numPr>
        <w:rPr>
          <w:rFonts w:cstheme="minorHAnsi"/>
        </w:rPr>
      </w:pPr>
      <w:r w:rsidRPr="002E744E">
        <w:rPr>
          <w:rFonts w:cstheme="minorHAnsi"/>
          <w:color w:val="45555F"/>
        </w:rPr>
        <w:t>Funds left over after making a qualifying withdrawal can be transferred to another FHSA or RRSP or registered retirement income fund (RRIF), on a tax-free basis, before the end of the year following the year that first qualifying withdrawal is made.</w:t>
      </w:r>
    </w:p>
    <w:p w14:paraId="0F5F0489" w14:textId="77777777" w:rsidR="002E744E" w:rsidRPr="002E744E" w:rsidRDefault="002E744E" w:rsidP="002E744E">
      <w:pPr>
        <w:pStyle w:val="NormalWeb"/>
        <w:numPr>
          <w:ilvl w:val="0"/>
          <w:numId w:val="1"/>
        </w:numPr>
        <w:shd w:val="clear" w:color="auto" w:fill="FFFFFF"/>
        <w:spacing w:before="0" w:beforeAutospacing="0" w:after="180" w:afterAutospacing="0" w:line="480" w:lineRule="atLeast"/>
        <w:rPr>
          <w:rFonts w:asciiTheme="minorHAnsi" w:hAnsiTheme="minorHAnsi" w:cstheme="minorHAnsi"/>
          <w:color w:val="45555F"/>
          <w:sz w:val="22"/>
          <w:szCs w:val="22"/>
        </w:rPr>
      </w:pPr>
      <w:r w:rsidRPr="002E744E">
        <w:rPr>
          <w:rFonts w:asciiTheme="minorHAnsi" w:hAnsiTheme="minorHAnsi" w:cstheme="minorHAnsi"/>
          <w:color w:val="45555F"/>
          <w:sz w:val="22"/>
          <w:szCs w:val="22"/>
        </w:rPr>
        <w:t>Withdrawals and transfers do not replenish FHSA contribution limits.</w:t>
      </w:r>
    </w:p>
    <w:p w14:paraId="28B3A8CA" w14:textId="7368E985" w:rsidR="002E744E" w:rsidRPr="002E744E" w:rsidRDefault="002E744E" w:rsidP="002E744E">
      <w:pPr>
        <w:rPr>
          <w:rFonts w:cstheme="minorHAnsi"/>
          <w:b/>
          <w:bCs/>
        </w:rPr>
      </w:pPr>
      <w:r w:rsidRPr="002E744E">
        <w:rPr>
          <w:rFonts w:cstheme="minorHAnsi"/>
          <w:b/>
          <w:bCs/>
        </w:rPr>
        <w:t>Closing a FHSA</w:t>
      </w:r>
    </w:p>
    <w:p w14:paraId="3E682E2D" w14:textId="1FA65A5C" w:rsidR="002E744E" w:rsidRPr="002E744E" w:rsidRDefault="002E744E" w:rsidP="002E744E">
      <w:pPr>
        <w:pStyle w:val="NormalWeb"/>
        <w:numPr>
          <w:ilvl w:val="0"/>
          <w:numId w:val="1"/>
        </w:numPr>
        <w:shd w:val="clear" w:color="auto" w:fill="FFFFFF"/>
        <w:spacing w:before="0" w:beforeAutospacing="0" w:after="180" w:afterAutospacing="0" w:line="480" w:lineRule="atLeast"/>
        <w:rPr>
          <w:rFonts w:asciiTheme="minorHAnsi" w:hAnsiTheme="minorHAnsi" w:cstheme="minorHAnsi"/>
          <w:color w:val="45555F"/>
          <w:sz w:val="22"/>
          <w:szCs w:val="22"/>
        </w:rPr>
      </w:pPr>
      <w:r w:rsidRPr="002E744E">
        <w:rPr>
          <w:rFonts w:asciiTheme="minorHAnsi" w:hAnsiTheme="minorHAnsi" w:cstheme="minorHAnsi"/>
          <w:color w:val="45555F"/>
          <w:sz w:val="22"/>
          <w:szCs w:val="22"/>
        </w:rPr>
        <w:t>The FHSA must be closed by December 31 of the year you turn age 71, by December 31 of the 15th anniversary of first opening the account if the funds have not been used to purchase a qualifying home, or by December 31 of the year following the year of the qualifying withdrawal.</w:t>
      </w:r>
      <w:r w:rsidRPr="002E744E">
        <w:rPr>
          <w:rStyle w:val="FootnoteReference"/>
          <w:rFonts w:asciiTheme="minorHAnsi" w:hAnsiTheme="minorHAnsi" w:cstheme="minorHAnsi"/>
          <w:color w:val="45555F"/>
          <w:sz w:val="22"/>
          <w:szCs w:val="22"/>
        </w:rPr>
        <w:footnoteReference w:id="4"/>
      </w:r>
    </w:p>
    <w:p w14:paraId="6A1DDD78" w14:textId="7310C136" w:rsidR="002E744E" w:rsidRPr="002E744E" w:rsidRDefault="002E744E" w:rsidP="002E744E">
      <w:pPr>
        <w:pStyle w:val="NormalWeb"/>
        <w:shd w:val="clear" w:color="auto" w:fill="FFFFFF"/>
        <w:spacing w:before="0" w:beforeAutospacing="0" w:after="180" w:afterAutospacing="0" w:line="480" w:lineRule="atLeast"/>
        <w:rPr>
          <w:rFonts w:asciiTheme="minorHAnsi" w:hAnsiTheme="minorHAnsi" w:cstheme="minorHAnsi"/>
          <w:b/>
          <w:bCs/>
          <w:color w:val="45555F"/>
          <w:sz w:val="22"/>
          <w:szCs w:val="22"/>
        </w:rPr>
      </w:pPr>
      <w:r w:rsidRPr="002E744E">
        <w:rPr>
          <w:rFonts w:asciiTheme="minorHAnsi" w:hAnsiTheme="minorHAnsi" w:cstheme="minorHAnsi"/>
          <w:b/>
          <w:bCs/>
          <w:color w:val="45555F"/>
          <w:sz w:val="22"/>
          <w:szCs w:val="22"/>
        </w:rPr>
        <w:t>Treatment on death</w:t>
      </w:r>
    </w:p>
    <w:p w14:paraId="64D11952" w14:textId="6C584DA0" w:rsidR="002E744E" w:rsidRPr="002E744E" w:rsidRDefault="002E744E" w:rsidP="002E744E">
      <w:pPr>
        <w:pStyle w:val="NormalWeb"/>
        <w:numPr>
          <w:ilvl w:val="0"/>
          <w:numId w:val="1"/>
        </w:numPr>
        <w:shd w:val="clear" w:color="auto" w:fill="FFFFFF"/>
        <w:spacing w:before="0" w:beforeAutospacing="0" w:after="180" w:afterAutospacing="0" w:line="480" w:lineRule="atLeast"/>
        <w:rPr>
          <w:rFonts w:asciiTheme="minorHAnsi" w:hAnsiTheme="minorHAnsi" w:cstheme="minorHAnsi"/>
          <w:color w:val="45555F"/>
          <w:sz w:val="22"/>
          <w:szCs w:val="22"/>
        </w:rPr>
      </w:pPr>
      <w:r w:rsidRPr="002E744E">
        <w:rPr>
          <w:rFonts w:asciiTheme="minorHAnsi" w:hAnsiTheme="minorHAnsi" w:cstheme="minorHAnsi"/>
          <w:color w:val="45555F"/>
          <w:sz w:val="22"/>
          <w:szCs w:val="22"/>
        </w:rPr>
        <w:t>You may designate your spouse as a successor account holder. The surviving spouse would become the new holder immediately on death, so long as they meet the eligibility criteria to open an FHSA.</w:t>
      </w:r>
    </w:p>
    <w:p w14:paraId="286E87C1" w14:textId="730FFE82" w:rsidR="002E744E" w:rsidRPr="002E744E" w:rsidRDefault="002E744E" w:rsidP="002E744E">
      <w:pPr>
        <w:pStyle w:val="NormalWeb"/>
        <w:numPr>
          <w:ilvl w:val="1"/>
          <w:numId w:val="1"/>
        </w:numPr>
        <w:shd w:val="clear" w:color="auto" w:fill="FFFFFF"/>
        <w:spacing w:before="0" w:beforeAutospacing="0" w:after="180" w:afterAutospacing="0" w:line="480" w:lineRule="atLeast"/>
        <w:rPr>
          <w:rFonts w:asciiTheme="minorHAnsi" w:hAnsiTheme="minorHAnsi" w:cstheme="minorHAnsi"/>
          <w:color w:val="45555F"/>
          <w:sz w:val="22"/>
          <w:szCs w:val="22"/>
        </w:rPr>
      </w:pPr>
      <w:r w:rsidRPr="002E744E">
        <w:rPr>
          <w:rFonts w:asciiTheme="minorHAnsi" w:hAnsiTheme="minorHAnsi" w:cstheme="minorHAnsi"/>
          <w:color w:val="45555F"/>
          <w:sz w:val="22"/>
          <w:szCs w:val="22"/>
        </w:rPr>
        <w:lastRenderedPageBreak/>
        <w:t>If the surviving spouse is not eligible to open an FHSA, amounts can be transferred on a tax-deferred basis to their RRSP or RRIF or withdrawn on a taxable basis.</w:t>
      </w:r>
      <w:r w:rsidRPr="002E744E">
        <w:rPr>
          <w:rStyle w:val="FootnoteReference"/>
          <w:rFonts w:asciiTheme="minorHAnsi" w:hAnsiTheme="minorHAnsi" w:cstheme="minorHAnsi"/>
          <w:color w:val="45555F"/>
          <w:sz w:val="22"/>
          <w:szCs w:val="22"/>
        </w:rPr>
        <w:footnoteReference w:id="5"/>
      </w:r>
    </w:p>
    <w:p w14:paraId="12A6F3EE" w14:textId="453A78EB" w:rsidR="002E744E" w:rsidRDefault="002E744E" w:rsidP="002E744E">
      <w:pPr>
        <w:pStyle w:val="NormalWeb"/>
        <w:numPr>
          <w:ilvl w:val="0"/>
          <w:numId w:val="1"/>
        </w:numPr>
        <w:shd w:val="clear" w:color="auto" w:fill="FFFFFF"/>
        <w:spacing w:before="0" w:beforeAutospacing="0" w:after="180" w:afterAutospacing="0" w:line="480" w:lineRule="atLeast"/>
        <w:rPr>
          <w:rFonts w:asciiTheme="minorHAnsi" w:hAnsiTheme="minorHAnsi" w:cstheme="minorHAnsi"/>
          <w:color w:val="45555F"/>
          <w:sz w:val="22"/>
          <w:szCs w:val="22"/>
        </w:rPr>
      </w:pPr>
      <w:r w:rsidRPr="002E744E">
        <w:rPr>
          <w:rFonts w:asciiTheme="minorHAnsi" w:hAnsiTheme="minorHAnsi" w:cstheme="minorHAnsi"/>
          <w:color w:val="45555F"/>
          <w:sz w:val="22"/>
          <w:szCs w:val="22"/>
        </w:rPr>
        <w:t>If the beneficiary is anyone other than a spouse, the funds will need to be withdrawn immediately following death and paid to the beneficiary.</w:t>
      </w:r>
    </w:p>
    <w:p w14:paraId="6F3D9D25" w14:textId="29C2831D" w:rsidR="0064680B" w:rsidRDefault="0064680B" w:rsidP="0064680B">
      <w:pPr>
        <w:pStyle w:val="NormalWeb"/>
        <w:shd w:val="clear" w:color="auto" w:fill="FFFFFF"/>
        <w:spacing w:before="0" w:beforeAutospacing="0" w:after="180" w:afterAutospacing="0" w:line="480" w:lineRule="atLeast"/>
        <w:rPr>
          <w:rFonts w:asciiTheme="minorHAnsi" w:hAnsiTheme="minorHAnsi" w:cstheme="minorHAnsi"/>
          <w:color w:val="45555F"/>
          <w:sz w:val="22"/>
          <w:szCs w:val="22"/>
        </w:rPr>
      </w:pPr>
    </w:p>
    <w:p w14:paraId="262CADF4" w14:textId="10B35F6E" w:rsidR="0064680B" w:rsidRDefault="0064680B" w:rsidP="0064680B">
      <w:pPr>
        <w:pStyle w:val="NormalWeb"/>
        <w:shd w:val="clear" w:color="auto" w:fill="FFFFFF"/>
        <w:spacing w:before="0" w:beforeAutospacing="0" w:after="180" w:afterAutospacing="0" w:line="480" w:lineRule="atLeast"/>
        <w:rPr>
          <w:rFonts w:asciiTheme="minorHAnsi" w:hAnsiTheme="minorHAnsi" w:cstheme="minorHAnsi"/>
          <w:color w:val="45555F"/>
          <w:sz w:val="22"/>
          <w:szCs w:val="22"/>
        </w:rPr>
      </w:pPr>
      <w:r>
        <w:rPr>
          <w:rFonts w:asciiTheme="minorHAnsi" w:hAnsiTheme="minorHAnsi" w:cstheme="minorHAnsi"/>
          <w:color w:val="45555F"/>
          <w:sz w:val="22"/>
          <w:szCs w:val="22"/>
        </w:rPr>
        <w:t>This may not be something you can take advantage of, however, you may know someone who could use this information.</w:t>
      </w:r>
    </w:p>
    <w:p w14:paraId="4C60B80E" w14:textId="7529234E" w:rsidR="0064680B" w:rsidRDefault="0064680B" w:rsidP="0064680B">
      <w:pPr>
        <w:pStyle w:val="NormalWeb"/>
        <w:shd w:val="clear" w:color="auto" w:fill="FFFFFF"/>
        <w:spacing w:before="0" w:beforeAutospacing="0" w:after="180" w:afterAutospacing="0" w:line="480" w:lineRule="atLeast"/>
        <w:rPr>
          <w:rFonts w:asciiTheme="minorHAnsi" w:hAnsiTheme="minorHAnsi" w:cstheme="minorHAnsi"/>
          <w:color w:val="45555F"/>
          <w:sz w:val="22"/>
          <w:szCs w:val="22"/>
        </w:rPr>
      </w:pPr>
      <w:r>
        <w:rPr>
          <w:rFonts w:asciiTheme="minorHAnsi" w:hAnsiTheme="minorHAnsi" w:cstheme="minorHAnsi"/>
          <w:color w:val="45555F"/>
          <w:sz w:val="22"/>
          <w:szCs w:val="22"/>
        </w:rPr>
        <w:t>Thank you</w:t>
      </w:r>
    </w:p>
    <w:p w14:paraId="463C4CCA" w14:textId="69259C7C" w:rsidR="0064680B" w:rsidRDefault="0064680B" w:rsidP="0064680B">
      <w:pPr>
        <w:pStyle w:val="NormalWeb"/>
        <w:shd w:val="clear" w:color="auto" w:fill="FFFFFF"/>
        <w:spacing w:before="0" w:beforeAutospacing="0" w:after="180" w:afterAutospacing="0" w:line="480" w:lineRule="atLeast"/>
        <w:rPr>
          <w:rFonts w:asciiTheme="minorHAnsi" w:hAnsiTheme="minorHAnsi" w:cstheme="minorHAnsi"/>
          <w:color w:val="45555F"/>
          <w:sz w:val="22"/>
          <w:szCs w:val="22"/>
        </w:rPr>
      </w:pPr>
      <w:r>
        <w:rPr>
          <w:rFonts w:asciiTheme="minorHAnsi" w:hAnsiTheme="minorHAnsi" w:cstheme="minorHAnsi"/>
          <w:color w:val="45555F"/>
          <w:sz w:val="22"/>
          <w:szCs w:val="22"/>
        </w:rPr>
        <w:t>Don</w:t>
      </w:r>
    </w:p>
    <w:p w14:paraId="3FC388E7" w14:textId="77777777" w:rsidR="0064680B" w:rsidRPr="002E744E" w:rsidRDefault="0064680B" w:rsidP="0064680B">
      <w:pPr>
        <w:pStyle w:val="NormalWeb"/>
        <w:shd w:val="clear" w:color="auto" w:fill="FFFFFF"/>
        <w:spacing w:before="0" w:beforeAutospacing="0" w:after="180" w:afterAutospacing="0" w:line="480" w:lineRule="atLeast"/>
        <w:rPr>
          <w:rFonts w:asciiTheme="minorHAnsi" w:hAnsiTheme="minorHAnsi" w:cstheme="minorHAnsi"/>
          <w:color w:val="45555F"/>
          <w:sz w:val="22"/>
          <w:szCs w:val="22"/>
        </w:rPr>
      </w:pPr>
    </w:p>
    <w:p w14:paraId="1AD37CD1" w14:textId="77777777" w:rsidR="002E744E" w:rsidRPr="002E744E" w:rsidRDefault="002E744E" w:rsidP="002E744E">
      <w:pPr>
        <w:rPr>
          <w:rFonts w:cstheme="minorHAnsi"/>
        </w:rPr>
      </w:pPr>
    </w:p>
    <w:sectPr w:rsidR="002E744E" w:rsidRPr="002E744E">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A9204A" w14:textId="77777777" w:rsidR="002E744E" w:rsidRDefault="002E744E" w:rsidP="002E744E">
      <w:pPr>
        <w:spacing w:after="0" w:line="240" w:lineRule="auto"/>
      </w:pPr>
      <w:r>
        <w:separator/>
      </w:r>
    </w:p>
  </w:endnote>
  <w:endnote w:type="continuationSeparator" w:id="0">
    <w:p w14:paraId="43FE36CA" w14:textId="77777777" w:rsidR="002E744E" w:rsidRDefault="002E744E" w:rsidP="002E74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E96C51" w14:textId="77777777" w:rsidR="002E744E" w:rsidRDefault="002E744E" w:rsidP="002E744E">
      <w:pPr>
        <w:spacing w:after="0" w:line="240" w:lineRule="auto"/>
      </w:pPr>
      <w:r>
        <w:separator/>
      </w:r>
    </w:p>
  </w:footnote>
  <w:footnote w:type="continuationSeparator" w:id="0">
    <w:p w14:paraId="19869165" w14:textId="77777777" w:rsidR="002E744E" w:rsidRDefault="002E744E" w:rsidP="002E744E">
      <w:pPr>
        <w:spacing w:after="0" w:line="240" w:lineRule="auto"/>
      </w:pPr>
      <w:r>
        <w:continuationSeparator/>
      </w:r>
    </w:p>
  </w:footnote>
  <w:footnote w:id="1">
    <w:p w14:paraId="6D0BADCC" w14:textId="23CE00F3" w:rsidR="002E744E" w:rsidRPr="002E744E" w:rsidRDefault="002E744E" w:rsidP="002E744E">
      <w:pPr>
        <w:pStyle w:val="NormalWeb"/>
        <w:shd w:val="clear" w:color="auto" w:fill="FFFFFF"/>
        <w:spacing w:before="0" w:beforeAutospacing="0" w:after="180" w:afterAutospacing="0" w:line="480" w:lineRule="atLeast"/>
        <w:rPr>
          <w:rFonts w:asciiTheme="minorHAnsi" w:hAnsiTheme="minorHAnsi" w:cstheme="minorHAnsi"/>
          <w:color w:val="45555F"/>
          <w:sz w:val="22"/>
          <w:szCs w:val="22"/>
          <w:lang w:val="fr-CA"/>
        </w:rPr>
      </w:pPr>
      <w:r w:rsidRPr="002E744E">
        <w:rPr>
          <w:rStyle w:val="FootnoteReference"/>
          <w:rFonts w:asciiTheme="minorHAnsi" w:hAnsiTheme="minorHAnsi" w:cstheme="minorHAnsi"/>
          <w:sz w:val="22"/>
          <w:szCs w:val="22"/>
        </w:rPr>
        <w:footnoteRef/>
      </w:r>
      <w:r w:rsidRPr="002E744E">
        <w:rPr>
          <w:rFonts w:asciiTheme="minorHAnsi" w:hAnsiTheme="minorHAnsi" w:cstheme="minorHAnsi"/>
          <w:sz w:val="22"/>
          <w:szCs w:val="22"/>
        </w:rPr>
        <w:t xml:space="preserve"> </w:t>
      </w:r>
      <w:r w:rsidRPr="002E744E">
        <w:rPr>
          <w:rFonts w:asciiTheme="minorHAnsi" w:hAnsiTheme="minorHAnsi" w:cstheme="minorHAnsi"/>
          <w:color w:val="45555F"/>
          <w:sz w:val="22"/>
          <w:szCs w:val="22"/>
          <w:lang w:val="fr-CA"/>
        </w:rPr>
        <w:t>https://www.canada.ca/en/revenue-agency/services/tax/individuals/topics/first-home-savings-account.html</w:t>
      </w:r>
    </w:p>
  </w:footnote>
  <w:footnote w:id="2">
    <w:p w14:paraId="364005DA" w14:textId="77777777" w:rsidR="002E744E" w:rsidRPr="002E744E" w:rsidRDefault="002E744E" w:rsidP="002E744E">
      <w:pPr>
        <w:pStyle w:val="NormalWeb"/>
        <w:shd w:val="clear" w:color="auto" w:fill="FFFFFF"/>
        <w:spacing w:before="0" w:beforeAutospacing="0" w:after="180" w:afterAutospacing="0" w:line="480" w:lineRule="atLeast"/>
        <w:rPr>
          <w:rFonts w:asciiTheme="minorHAnsi" w:hAnsiTheme="minorHAnsi" w:cstheme="minorHAnsi"/>
          <w:color w:val="45555F"/>
          <w:sz w:val="22"/>
          <w:szCs w:val="22"/>
          <w:lang w:val="fr-CA"/>
        </w:rPr>
      </w:pPr>
      <w:r w:rsidRPr="002E744E">
        <w:rPr>
          <w:rStyle w:val="FootnoteReference"/>
          <w:rFonts w:asciiTheme="minorHAnsi" w:hAnsiTheme="minorHAnsi" w:cstheme="minorHAnsi"/>
          <w:sz w:val="22"/>
          <w:szCs w:val="22"/>
        </w:rPr>
        <w:footnoteRef/>
      </w:r>
      <w:r w:rsidRPr="002E744E">
        <w:rPr>
          <w:rFonts w:asciiTheme="minorHAnsi" w:hAnsiTheme="minorHAnsi" w:cstheme="minorHAnsi"/>
          <w:sz w:val="22"/>
          <w:szCs w:val="22"/>
          <w:lang w:val="fr-CA"/>
        </w:rPr>
        <w:t xml:space="preserve"> </w:t>
      </w:r>
      <w:hyperlink r:id="rId1" w:history="1">
        <w:r w:rsidRPr="002E744E">
          <w:rPr>
            <w:rStyle w:val="Hyperlink"/>
            <w:rFonts w:asciiTheme="minorHAnsi" w:hAnsiTheme="minorHAnsi" w:cstheme="minorHAnsi"/>
            <w:sz w:val="22"/>
            <w:szCs w:val="22"/>
            <w:lang w:val="fr-CA"/>
          </w:rPr>
          <w:t>https://www.cpacanada.ca/en/business-and-accounting-resources/taxation/blog/2022/november/faqs-tax-free-first-home-savings-account</w:t>
        </w:r>
      </w:hyperlink>
    </w:p>
    <w:p w14:paraId="754468AA" w14:textId="512D3AC2" w:rsidR="002E744E" w:rsidRPr="002E744E" w:rsidRDefault="002E744E">
      <w:pPr>
        <w:pStyle w:val="FootnoteText"/>
        <w:rPr>
          <w:lang w:val="fr-CA"/>
        </w:rPr>
      </w:pPr>
    </w:p>
  </w:footnote>
  <w:footnote w:id="3">
    <w:p w14:paraId="0AE5F1B2" w14:textId="66D24FBE" w:rsidR="002E744E" w:rsidRPr="002E744E" w:rsidRDefault="002E744E">
      <w:pPr>
        <w:pStyle w:val="FootnoteText"/>
        <w:rPr>
          <w:rFonts w:cstheme="minorHAnsi"/>
          <w:sz w:val="22"/>
          <w:szCs w:val="22"/>
        </w:rPr>
      </w:pPr>
      <w:r>
        <w:rPr>
          <w:rStyle w:val="FootnoteReference"/>
        </w:rPr>
        <w:footnoteRef/>
      </w:r>
      <w:r>
        <w:t xml:space="preserve"> </w:t>
      </w:r>
      <w:hyperlink r:id="rId2" w:history="1">
        <w:r w:rsidRPr="002E744E">
          <w:rPr>
            <w:rStyle w:val="Hyperlink"/>
            <w:rFonts w:cstheme="minorHAnsi"/>
            <w:sz w:val="22"/>
            <w:szCs w:val="22"/>
          </w:rPr>
          <w:t>https://www.fidelity.ca/en/investor/fhsa/?gclid=EAIaIQobChMI49yHt5XD_gIVWQFMCh3xWgMTEAAYASAAEgIXWvD_BwE&amp;ef_id=EAIaIQobChMI49yHt5XD_gIVWQFMCh3xWgMTEAAYASAAEgIXWvD_BwE:G:s&amp;s_kwcid=AL!10784!3!649139314533!p!!g!!first%20home%20savings%20account!19724707431!148001862444&amp;gad=1</w:t>
        </w:r>
      </w:hyperlink>
    </w:p>
  </w:footnote>
  <w:footnote w:id="4">
    <w:p w14:paraId="0316D896" w14:textId="77777777" w:rsidR="002E744E" w:rsidRPr="002E744E" w:rsidRDefault="002E744E" w:rsidP="002E744E">
      <w:pPr>
        <w:pStyle w:val="NormalWeb"/>
        <w:shd w:val="clear" w:color="auto" w:fill="FFFFFF"/>
        <w:spacing w:before="0" w:beforeAutospacing="0" w:after="180" w:afterAutospacing="0" w:line="480" w:lineRule="atLeast"/>
        <w:rPr>
          <w:rFonts w:asciiTheme="minorHAnsi" w:hAnsiTheme="minorHAnsi" w:cstheme="minorHAnsi"/>
          <w:color w:val="45555F"/>
          <w:sz w:val="22"/>
          <w:szCs w:val="22"/>
        </w:rPr>
      </w:pPr>
      <w:r w:rsidRPr="002E744E">
        <w:rPr>
          <w:rStyle w:val="FootnoteReference"/>
          <w:rFonts w:asciiTheme="minorHAnsi" w:hAnsiTheme="minorHAnsi" w:cstheme="minorHAnsi"/>
          <w:sz w:val="22"/>
          <w:szCs w:val="22"/>
        </w:rPr>
        <w:footnoteRef/>
      </w:r>
      <w:r w:rsidRPr="002E744E">
        <w:rPr>
          <w:rFonts w:asciiTheme="minorHAnsi" w:hAnsiTheme="minorHAnsi" w:cstheme="minorHAnsi"/>
          <w:sz w:val="22"/>
          <w:szCs w:val="22"/>
        </w:rPr>
        <w:t xml:space="preserve"> </w:t>
      </w:r>
      <w:r w:rsidRPr="002E744E">
        <w:rPr>
          <w:rFonts w:asciiTheme="minorHAnsi" w:hAnsiTheme="minorHAnsi" w:cstheme="minorHAnsi"/>
          <w:color w:val="45555F"/>
          <w:sz w:val="22"/>
          <w:szCs w:val="22"/>
        </w:rPr>
        <w:t>https://www.canada.ca/en/revenue-agency/services/tax/individuals/topics/first-home-savings-account.html</w:t>
      </w:r>
    </w:p>
    <w:p w14:paraId="4BE5418E" w14:textId="1E7F9D5B" w:rsidR="002E744E" w:rsidRDefault="002E744E">
      <w:pPr>
        <w:pStyle w:val="FootnoteText"/>
      </w:pPr>
    </w:p>
  </w:footnote>
  <w:footnote w:id="5">
    <w:p w14:paraId="72CBDE9A" w14:textId="77777777" w:rsidR="002E744E" w:rsidRPr="002E744E" w:rsidRDefault="002E744E" w:rsidP="002E744E">
      <w:pPr>
        <w:pStyle w:val="NormalWeb"/>
        <w:shd w:val="clear" w:color="auto" w:fill="FFFFFF"/>
        <w:spacing w:before="0" w:beforeAutospacing="0" w:after="180" w:afterAutospacing="0" w:line="480" w:lineRule="atLeast"/>
        <w:rPr>
          <w:rFonts w:asciiTheme="minorHAnsi" w:hAnsiTheme="minorHAnsi" w:cstheme="minorHAnsi"/>
          <w:color w:val="45555F"/>
          <w:sz w:val="22"/>
          <w:szCs w:val="22"/>
        </w:rPr>
      </w:pPr>
      <w:r w:rsidRPr="002E744E">
        <w:rPr>
          <w:rStyle w:val="FootnoteReference"/>
          <w:rFonts w:asciiTheme="minorHAnsi" w:hAnsiTheme="minorHAnsi" w:cstheme="minorHAnsi"/>
          <w:sz w:val="22"/>
          <w:szCs w:val="22"/>
        </w:rPr>
        <w:footnoteRef/>
      </w:r>
      <w:r w:rsidRPr="002E744E">
        <w:rPr>
          <w:rFonts w:asciiTheme="minorHAnsi" w:hAnsiTheme="minorHAnsi" w:cstheme="minorHAnsi"/>
          <w:sz w:val="22"/>
          <w:szCs w:val="22"/>
        </w:rPr>
        <w:t xml:space="preserve"> </w:t>
      </w:r>
      <w:hyperlink r:id="rId3" w:history="1">
        <w:r w:rsidRPr="002E744E">
          <w:rPr>
            <w:rStyle w:val="Hyperlink"/>
            <w:rFonts w:asciiTheme="minorHAnsi" w:hAnsiTheme="minorHAnsi" w:cstheme="minorHAnsi"/>
            <w:sz w:val="22"/>
            <w:szCs w:val="22"/>
          </w:rPr>
          <w:t>https://www.cpacanada.ca/en/business-and-accounting-resources/taxation/blog/2022/november/faqs-tax-free-first-home-savings-account</w:t>
        </w:r>
      </w:hyperlink>
    </w:p>
    <w:p w14:paraId="47A3B404" w14:textId="1227A432" w:rsidR="002E744E" w:rsidRDefault="002E744E">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762D82"/>
    <w:multiLevelType w:val="hybridMultilevel"/>
    <w:tmpl w:val="5BD0AFDA"/>
    <w:lvl w:ilvl="0" w:tplc="28583D62">
      <w:numFmt w:val="bullet"/>
      <w:lvlText w:val="-"/>
      <w:lvlJc w:val="left"/>
      <w:pPr>
        <w:ind w:left="720" w:hanging="360"/>
      </w:pPr>
      <w:rPr>
        <w:rFonts w:ascii="Calibri" w:eastAsiaTheme="minorHAnsi" w:hAnsi="Calibri" w:cs="Calibr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719A6A42"/>
    <w:multiLevelType w:val="multilevel"/>
    <w:tmpl w:val="57ACC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10998800">
    <w:abstractNumId w:val="0"/>
  </w:num>
  <w:num w:numId="2" w16cid:durableId="10255936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16EA"/>
    <w:rsid w:val="002E744E"/>
    <w:rsid w:val="00362C5D"/>
    <w:rsid w:val="005932C7"/>
    <w:rsid w:val="0064680B"/>
    <w:rsid w:val="007D5B4D"/>
    <w:rsid w:val="008B047B"/>
    <w:rsid w:val="00C616E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79A7B1"/>
  <w15:chartTrackingRefBased/>
  <w15:docId w15:val="{EC49B04A-EE35-445E-AFBF-015E9D953A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C616EA"/>
    <w:pPr>
      <w:spacing w:before="100" w:beforeAutospacing="1" w:after="100" w:afterAutospacing="1" w:line="240" w:lineRule="auto"/>
      <w:outlineLvl w:val="1"/>
    </w:pPr>
    <w:rPr>
      <w:rFonts w:ascii="Times New Roman" w:eastAsia="Times New Roman" w:hAnsi="Times New Roman" w:cs="Times New Roman"/>
      <w:b/>
      <w:bCs/>
      <w:sz w:val="36"/>
      <w:szCs w:val="36"/>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16EA"/>
    <w:pPr>
      <w:ind w:left="720"/>
      <w:contextualSpacing/>
    </w:pPr>
  </w:style>
  <w:style w:type="character" w:customStyle="1" w:styleId="Heading2Char">
    <w:name w:val="Heading 2 Char"/>
    <w:basedOn w:val="DefaultParagraphFont"/>
    <w:link w:val="Heading2"/>
    <w:uiPriority w:val="9"/>
    <w:rsid w:val="00C616EA"/>
    <w:rPr>
      <w:rFonts w:ascii="Times New Roman" w:eastAsia="Times New Roman" w:hAnsi="Times New Roman" w:cs="Times New Roman"/>
      <w:b/>
      <w:bCs/>
      <w:sz w:val="36"/>
      <w:szCs w:val="36"/>
      <w:lang w:eastAsia="en-CA"/>
    </w:rPr>
  </w:style>
  <w:style w:type="paragraph" w:styleId="NormalWeb">
    <w:name w:val="Normal (Web)"/>
    <w:basedOn w:val="Normal"/>
    <w:uiPriority w:val="99"/>
    <w:unhideWhenUsed/>
    <w:rsid w:val="00C616EA"/>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customStyle="1" w:styleId="fd-section-break--top-10px">
    <w:name w:val="fd-section-break--top-10px"/>
    <w:basedOn w:val="Normal"/>
    <w:rsid w:val="007D5B4D"/>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styleId="FootnoteText">
    <w:name w:val="footnote text"/>
    <w:basedOn w:val="Normal"/>
    <w:link w:val="FootnoteTextChar"/>
    <w:uiPriority w:val="99"/>
    <w:semiHidden/>
    <w:unhideWhenUsed/>
    <w:rsid w:val="002E744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E744E"/>
    <w:rPr>
      <w:sz w:val="20"/>
      <w:szCs w:val="20"/>
    </w:rPr>
  </w:style>
  <w:style w:type="character" w:styleId="FootnoteReference">
    <w:name w:val="footnote reference"/>
    <w:basedOn w:val="DefaultParagraphFont"/>
    <w:uiPriority w:val="99"/>
    <w:semiHidden/>
    <w:unhideWhenUsed/>
    <w:rsid w:val="002E744E"/>
    <w:rPr>
      <w:vertAlign w:val="superscript"/>
    </w:rPr>
  </w:style>
  <w:style w:type="character" w:styleId="Hyperlink">
    <w:name w:val="Hyperlink"/>
    <w:basedOn w:val="DefaultParagraphFont"/>
    <w:uiPriority w:val="99"/>
    <w:unhideWhenUsed/>
    <w:rsid w:val="002E744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cpacanada.ca/en/business-and-accounting-resources/taxation/blog/2022/november/faqs-tax-free-first-home-savings-account" TargetMode="External"/><Relationship Id="rId2" Type="http://schemas.openxmlformats.org/officeDocument/2006/relationships/hyperlink" Target="https://www.fidelity.ca/en/investor/fhsa/?gclid=EAIaIQobChMI49yHt5XD_gIVWQFMCh3xWgMTEAAYASAAEgIXWvD_BwE&amp;ef_id=EAIaIQobChMI49yHt5XD_gIVWQFMCh3xWgMTEAAYASAAEgIXWvD_BwE:G:s&amp;s_kwcid=AL!10784!3!649139314533!p!!g!!first%20home%20savings%20account!19724707431!148001862444&amp;gad=1" TargetMode="External"/><Relationship Id="rId1" Type="http://schemas.openxmlformats.org/officeDocument/2006/relationships/hyperlink" Target="https://www.cpacanada.ca/en/business-and-accounting-resources/taxation/blog/2022/november/faqs-tax-free-first-home-savings-accou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53A08A-8470-4091-9074-9798752632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3</Pages>
  <Words>468</Words>
  <Characters>2668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McGugan, Don</dc:creator>
  <cp:keywords/>
  <dc:description/>
  <cp:lastModifiedBy>McGugan, Don</cp:lastModifiedBy>
  <cp:revision>2</cp:revision>
  <dcterms:created xsi:type="dcterms:W3CDTF">2023-04-27T18:31:00Z</dcterms:created>
  <dcterms:modified xsi:type="dcterms:W3CDTF">2023-04-27T19:09:00Z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cf00cb3-7a5d-4674-b157-6d675423df49_Enabled">
    <vt:lpwstr>true</vt:lpwstr>
  </property>
  <property fmtid="{D5CDD505-2E9C-101B-9397-08002B2CF9AE}" pid="3" name="MSIP_Label_0cf00cb3-7a5d-4674-b157-6d675423df49_SetDate">
    <vt:lpwstr>2023-04-27T18:31:13Z</vt:lpwstr>
  </property>
  <property fmtid="{D5CDD505-2E9C-101B-9397-08002B2CF9AE}" pid="4" name="MSIP_Label_0cf00cb3-7a5d-4674-b157-6d675423df49_Method">
    <vt:lpwstr>Standard</vt:lpwstr>
  </property>
  <property fmtid="{D5CDD505-2E9C-101B-9397-08002B2CF9AE}" pid="5" name="MSIP_Label_0cf00cb3-7a5d-4674-b157-6d675423df49_Name">
    <vt:lpwstr>Internal</vt:lpwstr>
  </property>
  <property fmtid="{D5CDD505-2E9C-101B-9397-08002B2CF9AE}" pid="6" name="MSIP_Label_0cf00cb3-7a5d-4674-b157-6d675423df49_SiteId">
    <vt:lpwstr>ece76e02-a02b-4c4a-906d-98a34c5ce07a</vt:lpwstr>
  </property>
  <property fmtid="{D5CDD505-2E9C-101B-9397-08002B2CF9AE}" pid="7" name="MSIP_Label_0cf00cb3-7a5d-4674-b157-6d675423df49_ActionId">
    <vt:lpwstr>0d0b6fdb-56eb-4c5d-b86f-db80d30aa66e</vt:lpwstr>
  </property>
  <property fmtid="{D5CDD505-2E9C-101B-9397-08002B2CF9AE}" pid="8" name="MSIP_Label_0cf00cb3-7a5d-4674-b157-6d675423df49_ContentBits">
    <vt:lpwstr>0</vt:lpwstr>
  </property>
</Properties>
</file>